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pPr>
        <w:spacing w:before="40" w:after="0" w:line="300" w:lineRule="exact"/>
        <w:jc w:val="left"/>
        <w:rPr>
          <w:rFonts w:hint="eastAsia" w:ascii="宋体" w:hAnsi="宋体" w:eastAsia="宋体" w:cs="宋体"/>
          <w:b/>
          <w:bCs/>
          <w:color w:val="000000"/>
          <w:sz w:val="21"/>
          <w:szCs w:val="21"/>
        </w:rPr>
      </w:pPr>
      <w:r>
        <w:rPr>
          <w:rFonts w:hint="eastAsia" w:ascii="宋体" w:hAnsi="宋体" w:eastAsia="宋体" w:cs="宋体"/>
          <w:b/>
          <w:bCs/>
          <w:color w:val="6A6A6A"/>
          <w:sz w:val="21"/>
          <w:szCs w:val="21"/>
        </w:rPr>
        <w:t>ICS 13.200</w:t>
      </w:r>
    </w:p>
    <w:p>
      <w:pPr>
        <w:spacing w:before="40" w:after="0" w:line="300" w:lineRule="exact"/>
        <w:jc w:val="both"/>
        <w:rPr>
          <w:rFonts w:hint="eastAsia" w:ascii="宋体" w:hAnsi="宋体" w:eastAsia="宋体" w:cs="宋体"/>
          <w:b/>
          <w:bCs/>
          <w:color w:val="6A6A6A"/>
          <w:sz w:val="21"/>
          <w:szCs w:val="21"/>
        </w:rPr>
      </w:pPr>
      <w:r>
        <w:rPr>
          <w:rFonts w:hint="eastAsia" w:ascii="宋体" w:hAnsi="宋体" w:eastAsia="宋体" w:cs="宋体"/>
          <w:b/>
          <w:bCs/>
          <w:color w:val="6A6A6A"/>
          <w:sz w:val="21"/>
          <w:szCs w:val="21"/>
        </w:rPr>
        <w:t>C 78</w:t>
      </w:r>
    </w:p>
    <w:p>
      <w:pPr>
        <w:spacing w:before="40" w:after="0" w:line="480" w:lineRule="auto"/>
        <w:ind w:firstLine="460"/>
        <w:jc w:val="right"/>
        <w:rPr>
          <w:rFonts w:ascii="微软雅黑" w:hAnsi="微软雅黑" w:eastAsia="微软雅黑"/>
          <w:color w:val="000000"/>
          <w:sz w:val="21"/>
          <w:szCs w:val="21"/>
        </w:rPr>
      </w:pPr>
      <w:r>
        <w:rPr>
          <w:rFonts w:hint="eastAsia" w:ascii="宋体" w:hAnsi="宋体" w:eastAsia="宋体" w:cs="宋体"/>
          <w:b/>
          <w:bCs/>
          <w:color w:val="000000"/>
          <w:sz w:val="84"/>
          <w:szCs w:val="84"/>
        </w:rPr>
        <w:t>GB</w:t>
      </w:r>
    </w:p>
    <w:p>
      <w:pPr>
        <w:spacing w:before="40" w:after="0" w:line="360" w:lineRule="auto"/>
        <w:ind w:firstLine="723" w:firstLineChars="100"/>
        <w:jc w:val="both"/>
        <w:rPr>
          <w:rFonts w:hint="eastAsia" w:ascii="宋体" w:hAnsi="宋体" w:eastAsia="宋体" w:cs="宋体"/>
          <w:b/>
          <w:bCs/>
          <w:color w:val="000000"/>
          <w:sz w:val="72"/>
          <w:szCs w:val="72"/>
        </w:rPr>
      </w:pPr>
      <w:r>
        <w:rPr>
          <w:rFonts w:hint="eastAsia" w:ascii="宋体" w:hAnsi="宋体" w:eastAsia="宋体" w:cs="宋体"/>
          <w:b/>
          <w:bCs/>
          <w:color w:val="000000"/>
          <w:sz w:val="72"/>
          <w:szCs w:val="72"/>
        </w:rPr>
        <w:t>中华人民共和国国家标准</w:t>
      </w:r>
    </w:p>
    <w:p>
      <w:pPr>
        <w:spacing w:before="40" w:after="0" w:line="300" w:lineRule="exact"/>
        <w:ind w:firstLine="460"/>
        <w:jc w:val="right"/>
        <w:rPr>
          <w:rFonts w:ascii="微软雅黑" w:hAnsi="微软雅黑" w:eastAsia="微软雅黑"/>
          <w:color w:val="6A6A6A"/>
          <w:sz w:val="21"/>
          <w:szCs w:val="21"/>
        </w:rPr>
      </w:pPr>
      <w:r>
        <w:rPr>
          <w:rFonts w:ascii="微软雅黑" w:hAnsi="微软雅黑" w:eastAsia="微软雅黑"/>
          <w:color w:val="6A6A6A"/>
          <w:sz w:val="21"/>
          <w:szCs w:val="21"/>
        </w:rPr>
        <w:t xml:space="preserve">GB/T 29639- -2020 </w:t>
      </w:r>
    </w:p>
    <w:p>
      <w:pPr>
        <w:spacing w:before="40" w:after="0" w:line="300" w:lineRule="exact"/>
        <w:ind w:firstLine="460"/>
        <w:jc w:val="right"/>
        <w:rPr>
          <w:rFonts w:ascii="微软雅黑" w:hAnsi="微软雅黑" w:eastAsia="微软雅黑"/>
          <w:color w:val="6A6A6A"/>
          <w:sz w:val="21"/>
          <w:szCs w:val="21"/>
        </w:rPr>
      </w:pPr>
      <w:r>
        <w:rPr>
          <w:rFonts w:ascii="微软雅黑" w:hAnsi="微软雅黑" w:eastAsia="微软雅黑"/>
          <w:color w:val="6A6A6A"/>
          <w:sz w:val="21"/>
          <w:szCs w:val="21"/>
        </w:rPr>
        <w:t>代替GB/T 29639- -2013</w:t>
      </w:r>
    </w:p>
    <w:p>
      <w:pPr>
        <w:spacing w:before="200" w:after="0" w:line="300" w:lineRule="exact"/>
        <w:ind w:firstLine="460"/>
        <w:jc w:val="left"/>
        <w:rPr>
          <w:rFonts w:ascii="微软雅黑" w:hAnsi="微软雅黑" w:eastAsia="微软雅黑"/>
          <w:color w:val="000000"/>
          <w:sz w:val="21"/>
          <w:szCs w:val="21"/>
        </w:rPr>
      </w:pPr>
    </w:p>
    <w:p>
      <w:pPr>
        <w:spacing w:before="200" w:after="0" w:line="300" w:lineRule="exact"/>
        <w:ind w:firstLine="460"/>
        <w:jc w:val="left"/>
        <w:rPr>
          <w:rFonts w:ascii="微软雅黑" w:hAnsi="微软雅黑" w:eastAsia="微软雅黑"/>
          <w:color w:val="000000"/>
          <w:sz w:val="21"/>
          <w:szCs w:val="21"/>
        </w:rPr>
      </w:pPr>
    </w:p>
    <w:p>
      <w:pPr>
        <w:spacing w:before="200" w:after="0" w:line="300" w:lineRule="exact"/>
        <w:ind w:firstLine="460"/>
        <w:jc w:val="left"/>
        <w:rPr>
          <w:rFonts w:ascii="微软雅黑" w:hAnsi="微软雅黑" w:eastAsia="微软雅黑"/>
          <w:color w:val="000000"/>
          <w:sz w:val="21"/>
          <w:szCs w:val="21"/>
        </w:rPr>
      </w:pPr>
    </w:p>
    <w:p>
      <w:pPr>
        <w:spacing w:before="40" w:after="0" w:line="360" w:lineRule="auto"/>
        <w:ind w:firstLine="460"/>
        <w:jc w:val="center"/>
        <w:rPr>
          <w:rFonts w:hint="eastAsia" w:ascii="宋体" w:hAnsi="宋体" w:eastAsia="宋体" w:cs="宋体"/>
          <w:b/>
          <w:bCs/>
          <w:color w:val="000000"/>
          <w:sz w:val="48"/>
          <w:szCs w:val="48"/>
        </w:rPr>
      </w:pPr>
      <w:r>
        <w:rPr>
          <w:rFonts w:hint="eastAsia" w:ascii="宋体" w:hAnsi="宋体" w:eastAsia="宋体" w:cs="宋体"/>
          <w:b/>
          <w:bCs/>
          <w:color w:val="000000"/>
          <w:sz w:val="48"/>
          <w:szCs w:val="48"/>
        </w:rPr>
        <w:t>生产经营单位生产安全事故</w:t>
      </w:r>
    </w:p>
    <w:p>
      <w:pPr>
        <w:spacing w:before="40" w:after="0" w:line="360" w:lineRule="auto"/>
        <w:jc w:val="center"/>
        <w:rPr>
          <w:rFonts w:hint="eastAsia" w:ascii="宋体" w:hAnsi="宋体" w:eastAsia="宋体" w:cs="宋体"/>
          <w:b/>
          <w:bCs/>
          <w:color w:val="000000"/>
          <w:sz w:val="48"/>
          <w:szCs w:val="48"/>
        </w:rPr>
      </w:pPr>
      <w:r>
        <w:rPr>
          <w:rFonts w:hint="eastAsia" w:ascii="宋体" w:hAnsi="宋体" w:eastAsia="宋体" w:cs="宋体"/>
          <w:b/>
          <w:bCs/>
          <w:color w:val="000000"/>
          <w:sz w:val="48"/>
          <w:szCs w:val="48"/>
        </w:rPr>
        <w:t>应急预案编制导则</w:t>
      </w:r>
    </w:p>
    <w:p>
      <w:pPr>
        <w:spacing w:before="40" w:after="0" w:line="300" w:lineRule="exact"/>
        <w:jc w:val="center"/>
        <w:rPr>
          <w:rFonts w:ascii="微软雅黑" w:hAnsi="微软雅黑" w:eastAsia="微软雅黑"/>
          <w:color w:val="6A6A6A"/>
          <w:sz w:val="21"/>
          <w:szCs w:val="21"/>
        </w:rPr>
      </w:pPr>
      <w:r>
        <w:rPr>
          <w:rFonts w:ascii="微软雅黑" w:hAnsi="微软雅黑" w:eastAsia="微软雅黑"/>
          <w:color w:val="6A6A6A"/>
          <w:sz w:val="21"/>
          <w:szCs w:val="21"/>
        </w:rPr>
        <w:t>Guidelines for enterprises to develop emergency</w:t>
      </w:r>
    </w:p>
    <w:p>
      <w:pPr>
        <w:spacing w:before="40" w:after="0" w:line="300" w:lineRule="exact"/>
        <w:jc w:val="center"/>
        <w:rPr>
          <w:rFonts w:ascii="微软雅黑" w:hAnsi="微软雅黑" w:eastAsia="微软雅黑"/>
          <w:color w:val="6A6A6A"/>
          <w:sz w:val="21"/>
          <w:szCs w:val="21"/>
        </w:rPr>
      </w:pPr>
      <w:r>
        <w:rPr>
          <w:rFonts w:ascii="微软雅黑" w:hAnsi="微软雅黑" w:eastAsia="微软雅黑"/>
          <w:color w:val="6A6A6A"/>
          <w:sz w:val="21"/>
          <w:szCs w:val="21"/>
        </w:rPr>
        <w:t>response plan for work place accidents</w:t>
      </w:r>
    </w:p>
    <w:p>
      <w:pPr>
        <w:spacing w:before="40" w:after="0" w:line="300" w:lineRule="exact"/>
        <w:ind w:firstLine="460"/>
        <w:jc w:val="center"/>
        <w:rPr>
          <w:rFonts w:ascii="微软雅黑" w:hAnsi="微软雅黑" w:eastAsia="微软雅黑"/>
          <w:color w:val="0C0C0C"/>
          <w:sz w:val="21"/>
          <w:szCs w:val="21"/>
        </w:rPr>
      </w:pPr>
    </w:p>
    <w:p>
      <w:pPr>
        <w:spacing w:before="40" w:after="0" w:line="300" w:lineRule="exact"/>
        <w:ind w:firstLine="460"/>
        <w:jc w:val="center"/>
        <w:rPr>
          <w:rFonts w:ascii="微软雅黑" w:hAnsi="微软雅黑" w:eastAsia="微软雅黑"/>
          <w:color w:val="0C0C0C"/>
          <w:sz w:val="21"/>
          <w:szCs w:val="21"/>
        </w:rPr>
      </w:pPr>
    </w:p>
    <w:p>
      <w:pPr>
        <w:spacing w:before="40" w:after="0" w:line="300" w:lineRule="exact"/>
        <w:ind w:firstLine="460"/>
        <w:jc w:val="center"/>
        <w:rPr>
          <w:rFonts w:ascii="微软雅黑" w:hAnsi="微软雅黑" w:eastAsia="微软雅黑"/>
          <w:color w:val="0C0C0C"/>
          <w:sz w:val="21"/>
          <w:szCs w:val="21"/>
        </w:rPr>
      </w:pPr>
    </w:p>
    <w:p>
      <w:pPr>
        <w:spacing w:before="40" w:after="0" w:line="300" w:lineRule="exact"/>
        <w:ind w:firstLine="460"/>
        <w:jc w:val="center"/>
        <w:rPr>
          <w:rFonts w:ascii="微软雅黑" w:hAnsi="微软雅黑" w:eastAsia="微软雅黑"/>
          <w:color w:val="0C0C0C"/>
          <w:sz w:val="21"/>
          <w:szCs w:val="21"/>
        </w:rPr>
      </w:pPr>
    </w:p>
    <w:p>
      <w:pPr>
        <w:spacing w:before="40" w:after="0" w:line="300" w:lineRule="exact"/>
        <w:ind w:firstLine="460"/>
        <w:jc w:val="center"/>
        <w:rPr>
          <w:rFonts w:ascii="微软雅黑" w:hAnsi="微软雅黑" w:eastAsia="微软雅黑"/>
          <w:color w:val="0C0C0C"/>
          <w:sz w:val="21"/>
          <w:szCs w:val="21"/>
        </w:rPr>
      </w:pPr>
    </w:p>
    <w:p>
      <w:pPr>
        <w:spacing w:before="40" w:after="0" w:line="300" w:lineRule="exact"/>
        <w:ind w:firstLine="460"/>
        <w:jc w:val="center"/>
        <w:rPr>
          <w:rFonts w:ascii="微软雅黑" w:hAnsi="微软雅黑" w:eastAsia="微软雅黑"/>
          <w:color w:val="0C0C0C"/>
          <w:sz w:val="21"/>
          <w:szCs w:val="21"/>
        </w:rPr>
      </w:pPr>
    </w:p>
    <w:p>
      <w:pPr>
        <w:spacing w:before="40" w:after="0" w:line="300" w:lineRule="exact"/>
        <w:ind w:firstLine="460"/>
        <w:jc w:val="center"/>
        <w:rPr>
          <w:rFonts w:ascii="微软雅黑" w:hAnsi="微软雅黑" w:eastAsia="微软雅黑"/>
          <w:color w:val="0C0C0C"/>
          <w:sz w:val="21"/>
          <w:szCs w:val="21"/>
        </w:rPr>
      </w:pPr>
    </w:p>
    <w:p>
      <w:pPr>
        <w:spacing w:before="40" w:after="0" w:line="300" w:lineRule="exact"/>
        <w:ind w:firstLine="460"/>
        <w:jc w:val="center"/>
        <w:rPr>
          <w:rFonts w:ascii="微软雅黑" w:hAnsi="微软雅黑" w:eastAsia="微软雅黑"/>
          <w:color w:val="0C0C0C"/>
          <w:sz w:val="21"/>
          <w:szCs w:val="21"/>
        </w:rPr>
      </w:pPr>
    </w:p>
    <w:p>
      <w:pPr>
        <w:spacing w:before="40" w:after="0" w:line="300" w:lineRule="exact"/>
        <w:ind w:firstLine="460"/>
        <w:jc w:val="center"/>
        <w:rPr>
          <w:rFonts w:ascii="微软雅黑" w:hAnsi="微软雅黑" w:eastAsia="微软雅黑"/>
          <w:color w:val="0C0C0C"/>
          <w:sz w:val="21"/>
          <w:szCs w:val="21"/>
        </w:rPr>
      </w:pPr>
    </w:p>
    <w:p>
      <w:pPr>
        <w:spacing w:before="40" w:after="0" w:line="300" w:lineRule="exact"/>
        <w:ind w:firstLine="460"/>
        <w:jc w:val="center"/>
        <w:rPr>
          <w:rFonts w:ascii="微软雅黑" w:hAnsi="微软雅黑" w:eastAsia="微软雅黑"/>
          <w:color w:val="0C0C0C"/>
          <w:sz w:val="21"/>
          <w:szCs w:val="21"/>
        </w:rPr>
      </w:pPr>
    </w:p>
    <w:p>
      <w:pPr>
        <w:spacing w:before="40" w:after="0" w:line="300" w:lineRule="exact"/>
        <w:ind w:firstLine="460"/>
        <w:jc w:val="center"/>
        <w:rPr>
          <w:rFonts w:ascii="微软雅黑" w:hAnsi="微软雅黑" w:eastAsia="微软雅黑"/>
          <w:color w:val="0C0C0C"/>
          <w:sz w:val="21"/>
          <w:szCs w:val="21"/>
        </w:rPr>
      </w:pPr>
    </w:p>
    <w:p>
      <w:pPr>
        <w:spacing w:before="40" w:after="0" w:line="300" w:lineRule="exact"/>
        <w:ind w:firstLine="460"/>
        <w:jc w:val="center"/>
        <w:rPr>
          <w:rFonts w:ascii="微软雅黑" w:hAnsi="微软雅黑" w:eastAsia="微软雅黑"/>
          <w:color w:val="0C0C0C"/>
          <w:sz w:val="21"/>
          <w:szCs w:val="21"/>
        </w:rPr>
      </w:pPr>
    </w:p>
    <w:p>
      <w:pPr>
        <w:spacing w:before="40" w:after="0" w:line="300" w:lineRule="exact"/>
        <w:ind w:firstLine="460"/>
        <w:jc w:val="both"/>
        <w:rPr>
          <w:rFonts w:ascii="微软雅黑" w:hAnsi="微软雅黑" w:eastAsia="微软雅黑"/>
          <w:color w:val="000000"/>
          <w:sz w:val="21"/>
          <w:szCs w:val="21"/>
        </w:rPr>
      </w:pPr>
    </w:p>
    <w:p>
      <w:pPr>
        <w:spacing w:before="40" w:after="0" w:line="300" w:lineRule="exact"/>
        <w:ind w:firstLine="460"/>
        <w:jc w:val="both"/>
        <w:rPr>
          <w:rFonts w:ascii="微软雅黑" w:hAnsi="微软雅黑" w:eastAsia="微软雅黑"/>
          <w:color w:val="000000"/>
          <w:sz w:val="21"/>
          <w:szCs w:val="21"/>
        </w:rPr>
      </w:pPr>
    </w:p>
    <w:p>
      <w:pPr>
        <w:spacing w:before="40" w:after="0" w:line="300" w:lineRule="exact"/>
        <w:ind w:firstLine="460"/>
        <w:jc w:val="both"/>
        <w:rPr>
          <w:rFonts w:ascii="微软雅黑" w:hAnsi="微软雅黑" w:eastAsia="微软雅黑"/>
          <w:color w:val="000000"/>
          <w:sz w:val="21"/>
          <w:szCs w:val="21"/>
        </w:rPr>
      </w:pPr>
    </w:p>
    <w:p>
      <w:pPr>
        <w:spacing w:before="40" w:after="0" w:line="300" w:lineRule="exact"/>
        <w:ind w:firstLine="460"/>
        <w:jc w:val="both"/>
        <w:rPr>
          <w:rFonts w:ascii="微软雅黑" w:hAnsi="微软雅黑" w:eastAsia="微软雅黑"/>
          <w:color w:val="000000"/>
          <w:sz w:val="21"/>
          <w:szCs w:val="21"/>
        </w:rPr>
      </w:pPr>
    </w:p>
    <w:p>
      <w:pPr>
        <w:spacing w:before="40" w:after="0" w:line="300" w:lineRule="exact"/>
        <w:ind w:firstLine="460"/>
        <w:jc w:val="both"/>
        <w:rPr>
          <w:rFonts w:ascii="微软雅黑" w:hAnsi="微软雅黑" w:eastAsia="微软雅黑"/>
          <w:color w:val="000000"/>
          <w:sz w:val="21"/>
          <w:szCs w:val="21"/>
          <w:u w:val="thick"/>
        </w:rPr>
      </w:pPr>
      <w:r>
        <w:rPr>
          <w:rFonts w:ascii="微软雅黑" w:hAnsi="微软雅黑" w:eastAsia="微软雅黑"/>
          <w:color w:val="000000"/>
          <w:sz w:val="21"/>
          <w:szCs w:val="21"/>
          <w:u w:val="thick"/>
        </w:rPr>
        <w:t>2020-09-29发布</w:t>
      </w:r>
      <w:r>
        <w:rPr>
          <w:rFonts w:hint="eastAsia" w:ascii="微软雅黑" w:hAnsi="微软雅黑" w:eastAsia="微软雅黑"/>
          <w:color w:val="000000"/>
          <w:sz w:val="21"/>
          <w:szCs w:val="21"/>
          <w:u w:val="thick"/>
          <w:lang w:val="en-US" w:eastAsia="zh-CN"/>
        </w:rPr>
        <w:t xml:space="preserve">                                                         </w:t>
      </w:r>
      <w:r>
        <w:rPr>
          <w:rFonts w:ascii="微软雅黑" w:hAnsi="微软雅黑" w:eastAsia="微软雅黑"/>
          <w:color w:val="000000"/>
          <w:sz w:val="21"/>
          <w:szCs w:val="21"/>
          <w:u w:val="thick"/>
        </w:rPr>
        <w:t>2021-04-01实施</w:t>
      </w:r>
    </w:p>
    <w:p>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rFonts w:hint="eastAsia" w:ascii="宋体" w:hAnsi="宋体" w:eastAsia="宋体" w:cs="宋体"/>
          <w:color w:val="000000"/>
          <w:sz w:val="21"/>
          <w:szCs w:val="21"/>
        </w:rPr>
      </w:pPr>
      <w:r>
        <w:rPr>
          <w:sz w:val="21"/>
        </w:rPr>
        <mc:AlternateContent>
          <mc:Choice Requires="wps">
            <w:drawing>
              <wp:anchor distT="0" distB="0" distL="114300" distR="114300" simplePos="0" relativeHeight="251658240" behindDoc="0" locked="0" layoutInCell="1" allowOverlap="1">
                <wp:simplePos x="0" y="0"/>
                <wp:positionH relativeFrom="column">
                  <wp:posOffset>3931285</wp:posOffset>
                </wp:positionH>
                <wp:positionV relativeFrom="paragraph">
                  <wp:posOffset>76200</wp:posOffset>
                </wp:positionV>
                <wp:extent cx="533400" cy="332740"/>
                <wp:effectExtent l="0" t="0" r="0" b="10160"/>
                <wp:wrapNone/>
                <wp:docPr id="1" name="文本框 1"/>
                <wp:cNvGraphicFramePr/>
                <a:graphic xmlns:a="http://schemas.openxmlformats.org/drawingml/2006/main">
                  <a:graphicData uri="http://schemas.microsoft.com/office/word/2010/wordprocessingShape">
                    <wps:wsp>
                      <wps:cNvSpPr txBox="1"/>
                      <wps:spPr>
                        <a:xfrm>
                          <a:off x="4566285" y="8910320"/>
                          <a:ext cx="533400" cy="33274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eastAsiaTheme="minorEastAsia"/>
                                <w:lang w:val="en-US" w:eastAsia="zh-CN"/>
                              </w:rPr>
                            </w:pPr>
                            <w:r>
                              <w:rPr>
                                <w:rFonts w:hint="eastAsia"/>
                                <w:lang w:val="en-US" w:eastAsia="zh-CN"/>
                              </w:rPr>
                              <w:t>发布</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09.55pt;margin-top:6pt;height:26.2pt;width:42pt;z-index:251658240;mso-width-relative:page;mso-height-relative:page;" fillcolor="#FFFFFF [3201]" filled="t" stroked="f" coordsize="21600,21600" o:gfxdata="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BRo/ITTAAAA&#10;CQEAAA8AAAAAAAAAAQAgAAAAIgAAAGRycy9kb3ducmV2LnhtbFBLAQIUABQAAAAIAIdO4kA11Z6N&#10;WwIAAJoEAAAOAAAAAAAAAAEAIAAAACIBAABkcnMvZTJvRG9jLnhtbFBLBQYAAAAABgAGAFkBAADv&#10;BQAAAAA=&#10;">
                <v:fill on="t" focussize="0,0"/>
                <v:stroke on="f" weight="0.5pt"/>
                <v:imagedata o:title=""/>
                <o:lock v:ext="edit" aspectratio="f"/>
                <v:textbox>
                  <w:txbxContent>
                    <w:p>
                      <w:pPr>
                        <w:rPr>
                          <w:rFonts w:hint="eastAsia" w:eastAsiaTheme="minorEastAsia"/>
                          <w:lang w:val="en-US" w:eastAsia="zh-CN"/>
                        </w:rPr>
                      </w:pPr>
                      <w:r>
                        <w:rPr>
                          <w:rFonts w:hint="eastAsia"/>
                          <w:lang w:val="en-US" w:eastAsia="zh-CN"/>
                        </w:rPr>
                        <w:t>发布</w:t>
                      </w:r>
                    </w:p>
                  </w:txbxContent>
                </v:textbox>
              </v:shape>
            </w:pict>
          </mc:Fallback>
        </mc:AlternateContent>
      </w:r>
      <w:r>
        <w:rPr>
          <w:rFonts w:hint="eastAsia" w:ascii="宋体" w:hAnsi="宋体" w:eastAsia="宋体" w:cs="宋体"/>
          <w:color w:val="000000"/>
          <w:sz w:val="21"/>
          <w:szCs w:val="21"/>
        </w:rPr>
        <w:t>国家市场监督管理总局</w:t>
      </w:r>
    </w:p>
    <w:p>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rFonts w:hint="eastAsia" w:ascii="宋体" w:hAnsi="宋体" w:eastAsia="宋体" w:cs="宋体"/>
          <w:color w:val="0C0C0C"/>
          <w:sz w:val="21"/>
          <w:szCs w:val="21"/>
        </w:rPr>
      </w:pPr>
      <w:r>
        <w:rPr>
          <w:rFonts w:hint="eastAsia" w:ascii="宋体" w:hAnsi="宋体" w:eastAsia="宋体" w:cs="宋体"/>
          <w:color w:val="0C0C0C"/>
          <w:sz w:val="21"/>
          <w:szCs w:val="21"/>
        </w:rPr>
        <w:t>国家标准化管理委员会</w:t>
      </w:r>
      <w:r>
        <w:rPr>
          <w:rFonts w:hint="eastAsia" w:ascii="宋体" w:hAnsi="宋体" w:eastAsia="宋体" w:cs="宋体"/>
          <w:color w:val="0C0C0C"/>
          <w:sz w:val="21"/>
          <w:szCs w:val="21"/>
        </w:rPr>
        <w:br w:type="textWrapping"/>
      </w:r>
    </w:p>
    <w:p>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rFonts w:hint="eastAsia" w:ascii="宋体" w:hAnsi="宋体" w:eastAsia="宋体" w:cs="宋体"/>
          <w:color w:val="0C0C0C"/>
          <w:sz w:val="21"/>
          <w:szCs w:val="21"/>
        </w:rPr>
      </w:pPr>
    </w:p>
    <w:p>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rFonts w:hint="eastAsia" w:ascii="宋体" w:hAnsi="宋体" w:eastAsia="宋体" w:cs="宋体"/>
          <w:color w:val="0C0C0C"/>
          <w:sz w:val="21"/>
          <w:szCs w:val="21"/>
        </w:rPr>
      </w:pPr>
    </w:p>
    <w:p>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rFonts w:hint="eastAsia" w:ascii="宋体" w:hAnsi="宋体" w:eastAsia="宋体" w:cs="宋体"/>
          <w:color w:val="0C0C0C"/>
          <w:sz w:val="21"/>
          <w:szCs w:val="21"/>
        </w:rPr>
      </w:pPr>
    </w:p>
    <w:p>
      <w:pPr>
        <w:keepNext w:val="0"/>
        <w:keepLines w:val="0"/>
        <w:pageBreakBefore w:val="0"/>
        <w:widowControl w:val="0"/>
        <w:kinsoku/>
        <w:wordWrap/>
        <w:overflowPunct/>
        <w:topLinePunct w:val="0"/>
        <w:autoSpaceDE/>
        <w:autoSpaceDN/>
        <w:bidi w:val="0"/>
        <w:adjustRightInd/>
        <w:snapToGrid/>
        <w:spacing w:after="0" w:line="480" w:lineRule="auto"/>
        <w:jc w:val="center"/>
        <w:textAlignment w:val="auto"/>
        <w:rPr>
          <w:rFonts w:hint="eastAsia" w:ascii="宋体" w:hAnsi="宋体" w:eastAsia="宋体" w:cs="宋体"/>
          <w:b/>
          <w:bCs/>
          <w:color w:val="0C0C0C"/>
          <w:sz w:val="30"/>
          <w:szCs w:val="30"/>
          <w:lang w:eastAsia="zh-CN"/>
        </w:rPr>
      </w:pPr>
      <w:r>
        <w:rPr>
          <w:rFonts w:hint="eastAsia" w:ascii="宋体" w:hAnsi="宋体" w:eastAsia="宋体" w:cs="宋体"/>
          <w:b/>
          <w:bCs/>
          <w:color w:val="0C0C0C"/>
          <w:sz w:val="30"/>
          <w:szCs w:val="30"/>
          <w:lang w:eastAsia="zh-CN"/>
        </w:rPr>
        <w:t>目</w:t>
      </w:r>
      <w:r>
        <w:rPr>
          <w:rFonts w:hint="eastAsia" w:ascii="宋体" w:hAnsi="宋体" w:eastAsia="宋体" w:cs="宋体"/>
          <w:b/>
          <w:bCs/>
          <w:color w:val="0C0C0C"/>
          <w:sz w:val="30"/>
          <w:szCs w:val="30"/>
          <w:lang w:val="en-US" w:eastAsia="zh-CN"/>
        </w:rPr>
        <w:t xml:space="preserve">  </w:t>
      </w:r>
      <w:r>
        <w:rPr>
          <w:rFonts w:hint="eastAsia" w:ascii="宋体" w:hAnsi="宋体" w:eastAsia="宋体" w:cs="宋体"/>
          <w:b/>
          <w:bCs/>
          <w:color w:val="0C0C0C"/>
          <w:sz w:val="30"/>
          <w:szCs w:val="30"/>
          <w:lang w:eastAsia="zh-CN"/>
        </w:rPr>
        <w:t>录</w:t>
      </w:r>
    </w:p>
    <w:p>
      <w:pPr>
        <w:keepNext w:val="0"/>
        <w:keepLines w:val="0"/>
        <w:pageBreakBefore w:val="0"/>
        <w:widowControl w:val="0"/>
        <w:kinsoku/>
        <w:wordWrap/>
        <w:overflowPunct/>
        <w:topLinePunct w:val="0"/>
        <w:autoSpaceDE/>
        <w:autoSpaceDN/>
        <w:bidi w:val="0"/>
        <w:adjustRightInd/>
        <w:snapToGrid/>
        <w:spacing w:after="0" w:line="480" w:lineRule="auto"/>
        <w:jc w:val="left"/>
        <w:textAlignment w:val="auto"/>
        <w:rPr>
          <w:rFonts w:hint="default" w:ascii="宋体" w:hAnsi="宋体" w:eastAsia="宋体" w:cs="宋体"/>
          <w:color w:val="0C0C0C"/>
          <w:sz w:val="24"/>
          <w:szCs w:val="24"/>
          <w:lang w:val="en-US" w:eastAsia="zh-CN"/>
        </w:rPr>
      </w:pPr>
      <w:r>
        <w:rPr>
          <w:rFonts w:hint="eastAsia" w:ascii="宋体" w:hAnsi="宋体" w:eastAsia="宋体" w:cs="宋体"/>
          <w:color w:val="0C0C0C"/>
          <w:sz w:val="24"/>
          <w:szCs w:val="24"/>
          <w:lang w:eastAsia="zh-CN"/>
        </w:rPr>
        <w:t>前言</w:t>
      </w:r>
      <w:r>
        <w:rPr>
          <w:rFonts w:hint="eastAsia" w:ascii="宋体" w:hAnsi="宋体" w:eastAsia="宋体" w:cs="宋体"/>
          <w:color w:val="0C0C0C"/>
          <w:sz w:val="24"/>
          <w:szCs w:val="24"/>
          <w:lang w:val="en-US" w:eastAsia="zh-CN"/>
        </w:rPr>
        <w:t>.............................................................................1</w:t>
      </w:r>
    </w:p>
    <w:p>
      <w:pPr>
        <w:keepNext w:val="0"/>
        <w:keepLines w:val="0"/>
        <w:pageBreakBefore w:val="0"/>
        <w:widowControl w:val="0"/>
        <w:kinsoku/>
        <w:wordWrap/>
        <w:overflowPunct/>
        <w:topLinePunct w:val="0"/>
        <w:autoSpaceDE/>
        <w:autoSpaceDN/>
        <w:bidi w:val="0"/>
        <w:adjustRightInd/>
        <w:snapToGrid/>
        <w:spacing w:after="0" w:line="480" w:lineRule="auto"/>
        <w:jc w:val="left"/>
        <w:textAlignment w:val="auto"/>
        <w:rPr>
          <w:rFonts w:hint="default" w:ascii="宋体" w:hAnsi="宋体" w:eastAsia="宋体" w:cs="宋体"/>
          <w:color w:val="0C0C0C"/>
          <w:sz w:val="24"/>
          <w:szCs w:val="24"/>
          <w:lang w:val="en-US" w:eastAsia="zh-CN"/>
        </w:rPr>
      </w:pPr>
      <w:r>
        <w:rPr>
          <w:rFonts w:hint="eastAsia" w:ascii="宋体" w:hAnsi="宋体" w:eastAsia="宋体" w:cs="宋体"/>
          <w:color w:val="0C0C0C"/>
          <w:sz w:val="24"/>
          <w:szCs w:val="24"/>
          <w:lang w:val="en-US" w:eastAsia="zh-CN"/>
        </w:rPr>
        <w:t>1 范围...........................................................................2 规范性引用文件...................................................................2</w:t>
      </w:r>
    </w:p>
    <w:p>
      <w:pPr>
        <w:keepNext w:val="0"/>
        <w:keepLines w:val="0"/>
        <w:pageBreakBefore w:val="0"/>
        <w:widowControl w:val="0"/>
        <w:kinsoku/>
        <w:wordWrap/>
        <w:overflowPunct/>
        <w:topLinePunct w:val="0"/>
        <w:autoSpaceDE/>
        <w:autoSpaceDN/>
        <w:bidi w:val="0"/>
        <w:adjustRightInd/>
        <w:snapToGrid/>
        <w:spacing w:after="0" w:line="480" w:lineRule="auto"/>
        <w:jc w:val="left"/>
        <w:textAlignment w:val="auto"/>
        <w:rPr>
          <w:rFonts w:hint="default" w:ascii="宋体" w:hAnsi="宋体" w:eastAsia="宋体" w:cs="宋体"/>
          <w:color w:val="0C0C0C"/>
          <w:sz w:val="24"/>
          <w:szCs w:val="24"/>
          <w:lang w:val="en-US" w:eastAsia="zh-CN"/>
        </w:rPr>
      </w:pPr>
      <w:r>
        <w:rPr>
          <w:rFonts w:hint="eastAsia" w:ascii="宋体" w:hAnsi="宋体" w:eastAsia="宋体" w:cs="宋体"/>
          <w:color w:val="0C0C0C"/>
          <w:sz w:val="24"/>
          <w:szCs w:val="24"/>
          <w:lang w:val="en-US" w:eastAsia="zh-CN"/>
        </w:rPr>
        <w:t>3 术语和定义.....................................................................2</w:t>
      </w:r>
    </w:p>
    <w:p>
      <w:pPr>
        <w:keepNext w:val="0"/>
        <w:keepLines w:val="0"/>
        <w:pageBreakBefore w:val="0"/>
        <w:widowControl w:val="0"/>
        <w:kinsoku/>
        <w:wordWrap/>
        <w:overflowPunct/>
        <w:topLinePunct w:val="0"/>
        <w:autoSpaceDE/>
        <w:autoSpaceDN/>
        <w:bidi w:val="0"/>
        <w:adjustRightInd/>
        <w:snapToGrid/>
        <w:spacing w:after="0" w:line="480" w:lineRule="auto"/>
        <w:jc w:val="left"/>
        <w:textAlignment w:val="auto"/>
        <w:rPr>
          <w:rFonts w:hint="default" w:ascii="宋体" w:hAnsi="宋体" w:eastAsia="宋体" w:cs="宋体"/>
          <w:color w:val="0C0C0C"/>
          <w:sz w:val="24"/>
          <w:szCs w:val="24"/>
          <w:lang w:val="en-US" w:eastAsia="zh-CN"/>
        </w:rPr>
      </w:pPr>
      <w:r>
        <w:rPr>
          <w:rFonts w:hint="eastAsia" w:ascii="宋体" w:hAnsi="宋体" w:eastAsia="宋体" w:cs="宋体"/>
          <w:color w:val="0C0C0C"/>
          <w:sz w:val="24"/>
          <w:szCs w:val="24"/>
          <w:lang w:val="en-US" w:eastAsia="zh-CN"/>
        </w:rPr>
        <w:t>4应急预案编制程序...............................................................2</w:t>
      </w:r>
    </w:p>
    <w:p>
      <w:pPr>
        <w:keepNext w:val="0"/>
        <w:keepLines w:val="0"/>
        <w:pageBreakBefore w:val="0"/>
        <w:widowControl w:val="0"/>
        <w:kinsoku/>
        <w:wordWrap/>
        <w:overflowPunct/>
        <w:topLinePunct w:val="0"/>
        <w:autoSpaceDE/>
        <w:autoSpaceDN/>
        <w:bidi w:val="0"/>
        <w:adjustRightInd/>
        <w:snapToGrid/>
        <w:spacing w:after="0" w:line="480" w:lineRule="auto"/>
        <w:jc w:val="left"/>
        <w:textAlignment w:val="auto"/>
        <w:rPr>
          <w:rFonts w:hint="default" w:ascii="宋体" w:hAnsi="宋体" w:eastAsia="宋体" w:cs="宋体"/>
          <w:color w:val="0C0C0C"/>
          <w:sz w:val="24"/>
          <w:szCs w:val="24"/>
          <w:lang w:val="en-US" w:eastAsia="zh-CN"/>
        </w:rPr>
      </w:pPr>
      <w:r>
        <w:rPr>
          <w:rFonts w:hint="eastAsia" w:ascii="宋体" w:hAnsi="宋体" w:eastAsia="宋体" w:cs="宋体"/>
          <w:color w:val="0C0C0C"/>
          <w:sz w:val="24"/>
          <w:szCs w:val="24"/>
          <w:lang w:val="en-US" w:eastAsia="zh-CN"/>
        </w:rPr>
        <w:t>5应急预案体系...................................................................5</w:t>
      </w:r>
    </w:p>
    <w:p>
      <w:pPr>
        <w:keepNext w:val="0"/>
        <w:keepLines w:val="0"/>
        <w:pageBreakBefore w:val="0"/>
        <w:widowControl w:val="0"/>
        <w:kinsoku/>
        <w:wordWrap/>
        <w:overflowPunct/>
        <w:topLinePunct w:val="0"/>
        <w:autoSpaceDE/>
        <w:autoSpaceDN/>
        <w:bidi w:val="0"/>
        <w:adjustRightInd/>
        <w:snapToGrid/>
        <w:spacing w:after="0" w:line="480" w:lineRule="auto"/>
        <w:jc w:val="left"/>
        <w:textAlignment w:val="auto"/>
        <w:rPr>
          <w:rFonts w:hint="default" w:ascii="宋体" w:hAnsi="宋体" w:eastAsia="宋体" w:cs="宋体"/>
          <w:color w:val="0C0C0C"/>
          <w:sz w:val="24"/>
          <w:szCs w:val="24"/>
          <w:lang w:val="en-US" w:eastAsia="zh-CN"/>
        </w:rPr>
      </w:pPr>
      <w:r>
        <w:rPr>
          <w:rFonts w:hint="eastAsia" w:ascii="宋体" w:hAnsi="宋体" w:eastAsia="宋体" w:cs="宋体"/>
          <w:color w:val="0C0C0C"/>
          <w:sz w:val="24"/>
          <w:szCs w:val="24"/>
          <w:lang w:val="en-US" w:eastAsia="zh-CN"/>
        </w:rPr>
        <w:t>6 综合应急预案内容...............................................................5</w:t>
      </w:r>
    </w:p>
    <w:p>
      <w:pPr>
        <w:keepNext w:val="0"/>
        <w:keepLines w:val="0"/>
        <w:pageBreakBefore w:val="0"/>
        <w:widowControl w:val="0"/>
        <w:kinsoku/>
        <w:wordWrap/>
        <w:overflowPunct/>
        <w:topLinePunct w:val="0"/>
        <w:autoSpaceDE/>
        <w:autoSpaceDN/>
        <w:bidi w:val="0"/>
        <w:adjustRightInd/>
        <w:snapToGrid/>
        <w:spacing w:after="0" w:line="480" w:lineRule="auto"/>
        <w:jc w:val="left"/>
        <w:textAlignment w:val="auto"/>
        <w:rPr>
          <w:rFonts w:hint="default" w:ascii="宋体" w:hAnsi="宋体" w:eastAsia="宋体" w:cs="宋体"/>
          <w:color w:val="0C0C0C"/>
          <w:sz w:val="24"/>
          <w:szCs w:val="24"/>
          <w:lang w:val="en-US" w:eastAsia="zh-CN"/>
        </w:rPr>
      </w:pPr>
      <w:r>
        <w:rPr>
          <w:rFonts w:hint="eastAsia" w:ascii="宋体" w:hAnsi="宋体" w:eastAsia="宋体" w:cs="宋体"/>
          <w:color w:val="0C0C0C"/>
          <w:sz w:val="24"/>
          <w:szCs w:val="24"/>
          <w:lang w:val="en-US" w:eastAsia="zh-CN"/>
        </w:rPr>
        <w:t>7 专项应急预案内容...............................................................8</w:t>
      </w:r>
    </w:p>
    <w:p>
      <w:pPr>
        <w:keepNext w:val="0"/>
        <w:keepLines w:val="0"/>
        <w:pageBreakBefore w:val="0"/>
        <w:widowControl w:val="0"/>
        <w:kinsoku/>
        <w:wordWrap/>
        <w:overflowPunct/>
        <w:topLinePunct w:val="0"/>
        <w:autoSpaceDE/>
        <w:autoSpaceDN/>
        <w:bidi w:val="0"/>
        <w:adjustRightInd/>
        <w:snapToGrid/>
        <w:spacing w:after="0" w:line="480" w:lineRule="auto"/>
        <w:jc w:val="left"/>
        <w:textAlignment w:val="auto"/>
        <w:rPr>
          <w:rFonts w:hint="default" w:ascii="宋体" w:hAnsi="宋体" w:eastAsia="宋体" w:cs="宋体"/>
          <w:color w:val="0C0C0C"/>
          <w:sz w:val="24"/>
          <w:szCs w:val="24"/>
          <w:lang w:val="en-US" w:eastAsia="zh-CN"/>
        </w:rPr>
      </w:pPr>
      <w:r>
        <w:rPr>
          <w:rFonts w:hint="eastAsia" w:ascii="宋体" w:hAnsi="宋体" w:eastAsia="宋体" w:cs="宋体"/>
          <w:color w:val="0C0C0C"/>
          <w:sz w:val="24"/>
          <w:szCs w:val="24"/>
          <w:lang w:val="en-US" w:eastAsia="zh-CN"/>
        </w:rPr>
        <w:t>8 现场处置方案内容...............................................................8</w:t>
      </w:r>
    </w:p>
    <w:p>
      <w:pPr>
        <w:keepNext w:val="0"/>
        <w:keepLines w:val="0"/>
        <w:pageBreakBefore w:val="0"/>
        <w:widowControl w:val="0"/>
        <w:kinsoku/>
        <w:wordWrap/>
        <w:overflowPunct/>
        <w:topLinePunct w:val="0"/>
        <w:autoSpaceDE/>
        <w:autoSpaceDN/>
        <w:bidi w:val="0"/>
        <w:adjustRightInd/>
        <w:snapToGrid/>
        <w:spacing w:after="0" w:line="480" w:lineRule="auto"/>
        <w:jc w:val="left"/>
        <w:textAlignment w:val="auto"/>
        <w:rPr>
          <w:rFonts w:hint="default" w:ascii="宋体" w:hAnsi="宋体" w:eastAsia="宋体" w:cs="宋体"/>
          <w:color w:val="0C0C0C"/>
          <w:sz w:val="24"/>
          <w:szCs w:val="24"/>
          <w:lang w:val="en-US" w:eastAsia="zh-CN"/>
        </w:rPr>
      </w:pPr>
      <w:r>
        <w:rPr>
          <w:rFonts w:hint="eastAsia" w:ascii="宋体" w:hAnsi="宋体" w:eastAsia="宋体" w:cs="宋体"/>
          <w:color w:val="0C0C0C"/>
          <w:sz w:val="24"/>
          <w:szCs w:val="24"/>
          <w:lang w:val="en-US" w:eastAsia="zh-CN"/>
        </w:rPr>
        <w:t>9 附件...........................................................................9</w:t>
      </w:r>
    </w:p>
    <w:p>
      <w:pPr>
        <w:keepNext w:val="0"/>
        <w:keepLines w:val="0"/>
        <w:pageBreakBefore w:val="0"/>
        <w:widowControl w:val="0"/>
        <w:kinsoku/>
        <w:wordWrap/>
        <w:overflowPunct/>
        <w:topLinePunct w:val="0"/>
        <w:autoSpaceDE/>
        <w:autoSpaceDN/>
        <w:bidi w:val="0"/>
        <w:adjustRightInd/>
        <w:snapToGrid/>
        <w:spacing w:after="0" w:line="480" w:lineRule="auto"/>
        <w:jc w:val="left"/>
        <w:textAlignment w:val="auto"/>
        <w:rPr>
          <w:rFonts w:hint="default" w:ascii="宋体" w:hAnsi="宋体" w:eastAsia="宋体" w:cs="宋体"/>
          <w:color w:val="0C0C0C"/>
          <w:sz w:val="24"/>
          <w:szCs w:val="24"/>
          <w:lang w:val="en-US" w:eastAsia="zh-CN"/>
        </w:rPr>
      </w:pPr>
      <w:r>
        <w:rPr>
          <w:rFonts w:hint="eastAsia" w:ascii="宋体" w:hAnsi="宋体" w:eastAsia="宋体" w:cs="宋体"/>
          <w:color w:val="0C0C0C"/>
          <w:sz w:val="24"/>
          <w:szCs w:val="24"/>
          <w:lang w:val="en-US" w:eastAsia="zh-CN"/>
        </w:rPr>
        <w:t>附录A （资料性附录）生产安全事故风险评估报告编制大纲............................10</w:t>
      </w:r>
    </w:p>
    <w:p>
      <w:pPr>
        <w:keepNext w:val="0"/>
        <w:keepLines w:val="0"/>
        <w:pageBreakBefore w:val="0"/>
        <w:widowControl w:val="0"/>
        <w:kinsoku/>
        <w:wordWrap/>
        <w:overflowPunct/>
        <w:topLinePunct w:val="0"/>
        <w:autoSpaceDE/>
        <w:autoSpaceDN/>
        <w:bidi w:val="0"/>
        <w:adjustRightInd/>
        <w:snapToGrid/>
        <w:spacing w:after="0" w:line="480" w:lineRule="auto"/>
        <w:jc w:val="left"/>
        <w:textAlignment w:val="auto"/>
        <w:rPr>
          <w:rFonts w:hint="default" w:ascii="宋体" w:hAnsi="宋体" w:eastAsia="宋体" w:cs="宋体"/>
          <w:color w:val="0C0C0C"/>
          <w:sz w:val="24"/>
          <w:szCs w:val="24"/>
          <w:lang w:val="en-US" w:eastAsia="zh-CN"/>
        </w:rPr>
      </w:pPr>
      <w:r>
        <w:rPr>
          <w:rFonts w:hint="eastAsia" w:ascii="宋体" w:hAnsi="宋体" w:eastAsia="宋体" w:cs="宋体"/>
          <w:color w:val="0C0C0C"/>
          <w:sz w:val="24"/>
          <w:szCs w:val="24"/>
          <w:lang w:val="en-US" w:eastAsia="zh-CN"/>
        </w:rPr>
        <w:t>附录B （资料性附录）生产安全事故应急资料调查报告编制大纲.........................11</w:t>
      </w:r>
    </w:p>
    <w:p>
      <w:pPr>
        <w:keepNext w:val="0"/>
        <w:keepLines w:val="0"/>
        <w:pageBreakBefore w:val="0"/>
        <w:widowControl w:val="0"/>
        <w:kinsoku/>
        <w:wordWrap/>
        <w:overflowPunct/>
        <w:topLinePunct w:val="0"/>
        <w:autoSpaceDE/>
        <w:autoSpaceDN/>
        <w:bidi w:val="0"/>
        <w:adjustRightInd/>
        <w:snapToGrid/>
        <w:spacing w:after="0" w:line="480" w:lineRule="auto"/>
        <w:jc w:val="left"/>
        <w:textAlignment w:val="auto"/>
        <w:rPr>
          <w:rFonts w:hint="default" w:ascii="宋体" w:hAnsi="宋体" w:eastAsia="宋体" w:cs="宋体"/>
          <w:color w:val="0C0C0C"/>
          <w:sz w:val="24"/>
          <w:szCs w:val="24"/>
          <w:lang w:val="en-US" w:eastAsia="zh-CN"/>
        </w:rPr>
      </w:pPr>
      <w:r>
        <w:rPr>
          <w:rFonts w:hint="eastAsia" w:ascii="宋体" w:hAnsi="宋体" w:eastAsia="宋体" w:cs="宋体"/>
          <w:color w:val="0C0C0C"/>
          <w:sz w:val="24"/>
          <w:szCs w:val="24"/>
          <w:lang w:val="en-US" w:eastAsia="zh-CN"/>
        </w:rPr>
        <w:t>附录C （资料性附录）应急预案编制格式和要求......................................12</w:t>
      </w:r>
    </w:p>
    <w:p>
      <w:pPr>
        <w:keepNext w:val="0"/>
        <w:keepLines w:val="0"/>
        <w:pageBreakBefore w:val="0"/>
        <w:widowControl w:val="0"/>
        <w:kinsoku/>
        <w:wordWrap/>
        <w:overflowPunct/>
        <w:topLinePunct w:val="0"/>
        <w:autoSpaceDE/>
        <w:autoSpaceDN/>
        <w:bidi w:val="0"/>
        <w:adjustRightInd/>
        <w:snapToGrid/>
        <w:spacing w:after="0" w:line="480" w:lineRule="auto"/>
        <w:jc w:val="left"/>
        <w:textAlignment w:val="auto"/>
        <w:rPr>
          <w:rFonts w:hint="default" w:ascii="宋体" w:hAnsi="宋体" w:eastAsia="宋体" w:cs="宋体"/>
          <w:color w:val="0C0C0C"/>
          <w:sz w:val="24"/>
          <w:szCs w:val="24"/>
          <w:lang w:val="en-US" w:eastAsia="zh-CN"/>
        </w:rPr>
      </w:pPr>
      <w:r>
        <w:rPr>
          <w:rFonts w:hint="eastAsia" w:ascii="宋体" w:hAnsi="宋体" w:eastAsia="宋体" w:cs="宋体"/>
          <w:color w:val="0C0C0C"/>
          <w:sz w:val="24"/>
          <w:szCs w:val="24"/>
          <w:lang w:val="en-US" w:eastAsia="zh-CN"/>
        </w:rPr>
        <w:t>参考文献........................................................................13</w:t>
      </w:r>
    </w:p>
    <w:p>
      <w:pPr>
        <w:keepNext w:val="0"/>
        <w:keepLines w:val="0"/>
        <w:pageBreakBefore w:val="0"/>
        <w:widowControl w:val="0"/>
        <w:kinsoku/>
        <w:wordWrap/>
        <w:overflowPunct/>
        <w:topLinePunct w:val="0"/>
        <w:autoSpaceDE/>
        <w:autoSpaceDN/>
        <w:bidi w:val="0"/>
        <w:adjustRightInd/>
        <w:snapToGrid/>
        <w:spacing w:after="0" w:line="360" w:lineRule="auto"/>
        <w:jc w:val="center"/>
        <w:textAlignment w:val="auto"/>
        <w:rPr>
          <w:rFonts w:hint="eastAsia" w:ascii="宋体" w:hAnsi="宋体" w:eastAsia="宋体" w:cs="宋体"/>
          <w:color w:val="0C0C0C"/>
          <w:sz w:val="21"/>
          <w:szCs w:val="21"/>
          <w:lang w:eastAsia="zh-CN"/>
        </w:rPr>
      </w:pPr>
    </w:p>
    <w:p>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rFonts w:hint="eastAsia" w:ascii="宋体" w:hAnsi="宋体" w:eastAsia="宋体" w:cs="宋体"/>
          <w:color w:val="0C0C0C"/>
          <w:sz w:val="21"/>
          <w:szCs w:val="21"/>
          <w:lang w:eastAsia="zh-CN"/>
        </w:rPr>
      </w:pPr>
    </w:p>
    <w:p>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rFonts w:hint="eastAsia" w:ascii="宋体" w:hAnsi="宋体" w:eastAsia="宋体" w:cs="宋体"/>
          <w:color w:val="0C0C0C"/>
          <w:sz w:val="21"/>
          <w:szCs w:val="21"/>
          <w:lang w:eastAsia="zh-CN"/>
        </w:rPr>
      </w:pPr>
    </w:p>
    <w:p>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rFonts w:hint="eastAsia" w:ascii="宋体" w:hAnsi="宋体" w:eastAsia="宋体" w:cs="宋体"/>
          <w:color w:val="0C0C0C"/>
          <w:sz w:val="21"/>
          <w:szCs w:val="21"/>
          <w:lang w:eastAsia="zh-CN"/>
        </w:rPr>
      </w:pPr>
    </w:p>
    <w:p>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rFonts w:hint="eastAsia" w:ascii="宋体" w:hAnsi="宋体" w:eastAsia="宋体" w:cs="宋体"/>
          <w:color w:val="0C0C0C"/>
          <w:sz w:val="21"/>
          <w:szCs w:val="21"/>
          <w:lang w:eastAsia="zh-CN"/>
        </w:rPr>
      </w:pPr>
    </w:p>
    <w:p>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rFonts w:hint="eastAsia" w:ascii="宋体" w:hAnsi="宋体" w:eastAsia="宋体" w:cs="宋体"/>
          <w:color w:val="0C0C0C"/>
          <w:sz w:val="21"/>
          <w:szCs w:val="21"/>
          <w:lang w:eastAsia="zh-CN"/>
        </w:rPr>
      </w:pPr>
    </w:p>
    <w:p>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rFonts w:hint="eastAsia" w:ascii="宋体" w:hAnsi="宋体" w:eastAsia="宋体" w:cs="宋体"/>
          <w:color w:val="0C0C0C"/>
          <w:sz w:val="21"/>
          <w:szCs w:val="21"/>
          <w:lang w:eastAsia="zh-CN"/>
        </w:rPr>
      </w:pPr>
    </w:p>
    <w:p>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rFonts w:hint="eastAsia" w:ascii="宋体" w:hAnsi="宋体" w:eastAsia="宋体" w:cs="宋体"/>
          <w:color w:val="0C0C0C"/>
          <w:sz w:val="21"/>
          <w:szCs w:val="21"/>
          <w:lang w:eastAsia="zh-CN"/>
        </w:rPr>
      </w:pPr>
    </w:p>
    <w:p>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rFonts w:hint="eastAsia" w:ascii="宋体" w:hAnsi="宋体" w:eastAsia="宋体" w:cs="宋体"/>
          <w:color w:val="0C0C0C"/>
          <w:sz w:val="21"/>
          <w:szCs w:val="21"/>
          <w:lang w:eastAsia="zh-CN"/>
        </w:rPr>
      </w:pPr>
    </w:p>
    <w:p>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rFonts w:hint="eastAsia" w:ascii="宋体" w:hAnsi="宋体" w:eastAsia="宋体" w:cs="宋体"/>
          <w:color w:val="0C0C0C"/>
          <w:sz w:val="21"/>
          <w:szCs w:val="21"/>
          <w:lang w:eastAsia="zh-CN"/>
        </w:rPr>
      </w:pPr>
    </w:p>
    <w:p>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rFonts w:hint="eastAsia" w:ascii="宋体" w:hAnsi="宋体" w:eastAsia="宋体" w:cs="宋体"/>
          <w:color w:val="0C0C0C"/>
          <w:sz w:val="21"/>
          <w:szCs w:val="21"/>
          <w:lang w:eastAsia="zh-CN"/>
        </w:rPr>
      </w:pPr>
    </w:p>
    <w:p>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rFonts w:hint="eastAsia" w:ascii="宋体" w:hAnsi="宋体" w:eastAsia="宋体" w:cs="宋体"/>
          <w:color w:val="0C0C0C"/>
          <w:sz w:val="21"/>
          <w:szCs w:val="21"/>
          <w:lang w:eastAsia="zh-CN"/>
        </w:rPr>
      </w:pPr>
    </w:p>
    <w:p>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rFonts w:hint="eastAsia" w:ascii="宋体" w:hAnsi="宋体" w:eastAsia="宋体" w:cs="宋体"/>
          <w:color w:val="0C0C0C"/>
          <w:sz w:val="21"/>
          <w:szCs w:val="21"/>
          <w:lang w:eastAsia="zh-CN"/>
        </w:rPr>
      </w:pPr>
    </w:p>
    <w:p>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rFonts w:hint="eastAsia" w:ascii="宋体" w:hAnsi="宋体" w:eastAsia="宋体" w:cs="宋体"/>
          <w:color w:val="0C0C0C"/>
          <w:sz w:val="21"/>
          <w:szCs w:val="21"/>
          <w:lang w:eastAsia="zh-CN"/>
        </w:rPr>
      </w:pPr>
    </w:p>
    <w:p>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rFonts w:hint="eastAsia" w:ascii="宋体" w:hAnsi="宋体" w:eastAsia="宋体" w:cs="宋体"/>
          <w:color w:val="0C0C0C"/>
          <w:sz w:val="21"/>
          <w:szCs w:val="21"/>
          <w:lang w:eastAsia="zh-CN"/>
        </w:rPr>
      </w:pPr>
    </w:p>
    <w:p>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rFonts w:hint="eastAsia" w:ascii="宋体" w:hAnsi="宋体" w:eastAsia="宋体" w:cs="宋体"/>
          <w:color w:val="0C0C0C"/>
          <w:sz w:val="21"/>
          <w:szCs w:val="21"/>
          <w:lang w:eastAsia="zh-CN"/>
        </w:rPr>
      </w:pPr>
    </w:p>
    <w:p>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rFonts w:hint="eastAsia" w:ascii="宋体" w:hAnsi="宋体" w:eastAsia="宋体" w:cs="宋体"/>
          <w:color w:val="0C0C0C"/>
          <w:sz w:val="21"/>
          <w:szCs w:val="21"/>
          <w:lang w:eastAsia="zh-CN"/>
        </w:rPr>
        <w:sectPr>
          <w:pgSz w:w="11907" w:h="16839"/>
          <w:pgMar w:top="884" w:right="1000" w:bottom="884" w:left="1000" w:header="851" w:footer="992" w:gutter="0"/>
          <w:cols w:space="0" w:num="1"/>
          <w:rtlGutter w:val="0"/>
          <w:docGrid w:type="lines" w:linePitch="312" w:charSpace="0"/>
        </w:sectPr>
      </w:pPr>
    </w:p>
    <w:p>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rFonts w:hint="eastAsia" w:ascii="宋体" w:hAnsi="宋体" w:eastAsia="宋体" w:cs="宋体"/>
          <w:color w:val="0C0C0C"/>
          <w:sz w:val="21"/>
          <w:szCs w:val="21"/>
          <w:lang w:eastAsia="zh-CN"/>
        </w:rPr>
      </w:pPr>
    </w:p>
    <w:p>
      <w:pPr>
        <w:keepNext w:val="0"/>
        <w:keepLines w:val="0"/>
        <w:pageBreakBefore w:val="0"/>
        <w:widowControl w:val="0"/>
        <w:kinsoku/>
        <w:wordWrap/>
        <w:overflowPunct/>
        <w:topLinePunct w:val="0"/>
        <w:autoSpaceDE/>
        <w:autoSpaceDN/>
        <w:bidi w:val="0"/>
        <w:adjustRightInd/>
        <w:snapToGrid/>
        <w:spacing w:after="0" w:line="280" w:lineRule="exact"/>
        <w:jc w:val="center"/>
        <w:textAlignment w:val="auto"/>
        <w:rPr>
          <w:rFonts w:hint="eastAsia" w:ascii="宋体" w:hAnsi="宋体" w:eastAsia="宋体" w:cs="宋体"/>
          <w:color w:val="0C0C0C"/>
          <w:sz w:val="21"/>
          <w:szCs w:val="21"/>
          <w:lang w:eastAsia="zh-CN"/>
        </w:rPr>
      </w:pPr>
    </w:p>
    <w:p>
      <w:pPr>
        <w:spacing w:before="40" w:after="0" w:line="360" w:lineRule="auto"/>
        <w:ind w:firstLine="34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GB/T 29639—2020</w:t>
      </w:r>
    </w:p>
    <w:p>
      <w:pPr>
        <w:spacing w:before="40" w:after="0" w:line="360" w:lineRule="auto"/>
        <w:ind w:firstLine="340"/>
        <w:jc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前</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言</w:t>
      </w:r>
    </w:p>
    <w:p>
      <w:pPr>
        <w:spacing w:before="40" w:after="0" w:line="360" w:lineRule="auto"/>
        <w:ind w:firstLine="34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本标准按照GB/T1.1—2009给出的规则起草。</w:t>
      </w:r>
    </w:p>
    <w:p>
      <w:pPr>
        <w:spacing w:before="40" w:after="0" w:line="360" w:lineRule="auto"/>
        <w:ind w:firstLine="34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本标准代替GB/T 29639—2013《生产经营单位生产安全事故应急预案编制导则》。与GB/T 29639—2013相比，除编辑性修改外主要技术变化如下:</w:t>
      </w:r>
    </w:p>
    <w:p>
      <w:pPr>
        <w:spacing w:before="40" w:after="0" w:line="360" w:lineRule="auto"/>
        <w:ind w:firstLine="340"/>
        <w:jc w:val="both"/>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—修改了应急预案编制程序（见第4章，2013年版的第4章）</w:t>
      </w:r>
      <w:r>
        <w:rPr>
          <w:rFonts w:hint="eastAsia" w:ascii="宋体" w:hAnsi="宋体" w:eastAsia="宋体" w:cs="宋体"/>
          <w:color w:val="000000" w:themeColor="text1"/>
          <w:sz w:val="24"/>
          <w:szCs w:val="24"/>
          <w:lang w:val="en-US" w:eastAsia="zh-CN"/>
          <w14:textFill>
            <w14:solidFill>
              <w14:schemeClr w14:val="tx1"/>
            </w14:solidFill>
          </w14:textFill>
        </w:rPr>
        <w:t>:</w:t>
      </w:r>
    </w:p>
    <w:p>
      <w:pPr>
        <w:spacing w:before="40" w:after="0" w:line="360" w:lineRule="auto"/>
        <w:ind w:firstLine="34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—应急预案编制中将应急能力评估修改为应急资源调查（见4.5,2013年版的4.5）:</w:t>
      </w:r>
    </w:p>
    <w:p>
      <w:pPr>
        <w:spacing w:before="40" w:after="0" w:line="360" w:lineRule="auto"/>
        <w:ind w:firstLine="34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—细化了应急预案评审内容（见4.8，2013年版的4.7）:</w:t>
      </w:r>
    </w:p>
    <w:p>
      <w:pPr>
        <w:spacing w:before="40" w:after="0" w:line="360" w:lineRule="auto"/>
        <w:ind w:firstLine="34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—修改了综合应急预案的要素内容，去掉编制目的，将风险评估结果放入附件（见6.1和第9章，2013年版的6.1）:</w:t>
      </w:r>
    </w:p>
    <w:p>
      <w:pPr>
        <w:spacing w:before="40" w:after="0" w:line="360" w:lineRule="auto"/>
        <w:ind w:firstLine="34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—修改了专项应急预案的要素内容，增加了适用范围，去掉事故风险分析（见7.1，2013年版的7.1）:</w:t>
      </w:r>
    </w:p>
    <w:p>
      <w:pPr>
        <w:spacing w:before="40" w:after="0" w:line="360" w:lineRule="auto"/>
        <w:ind w:firstLine="34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—补充了应急预案附件组成，增加了9.1生产经营单位概况、9.2风险评估的结果和9.3预案体系与衔接（见9.1、9.2、9.3）:</w:t>
      </w:r>
    </w:p>
    <w:p>
      <w:pPr>
        <w:spacing w:before="40" w:after="0" w:line="360" w:lineRule="auto"/>
        <w:ind w:firstLine="340"/>
        <w:jc w:val="both"/>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—增加了附录A“生产安全事故风险评估报告编制大纲”、附录B“生产安全事故应急资源调查报告编制大纳”（见附录A、B）</w:t>
      </w:r>
      <w:r>
        <w:rPr>
          <w:rFonts w:hint="eastAsia" w:ascii="宋体" w:hAnsi="宋体" w:eastAsia="宋体" w:cs="宋体"/>
          <w:color w:val="000000" w:themeColor="text1"/>
          <w:sz w:val="24"/>
          <w:szCs w:val="24"/>
          <w:lang w:val="en-US" w:eastAsia="zh-CN"/>
          <w14:textFill>
            <w14:solidFill>
              <w14:schemeClr w14:val="tx1"/>
            </w14:solidFill>
          </w14:textFill>
        </w:rPr>
        <w:t>。</w:t>
      </w:r>
    </w:p>
    <w:p>
      <w:pPr>
        <w:spacing w:before="40" w:after="0" w:line="360" w:lineRule="auto"/>
        <w:ind w:firstLine="34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本标准由中华人民共和国应急管理部提出。</w:t>
      </w:r>
    </w:p>
    <w:p>
      <w:pPr>
        <w:spacing w:before="40" w:after="0" w:line="360" w:lineRule="auto"/>
        <w:ind w:firstLine="34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本标准由全国安全生产标准化技术委员会（SAC/TC288）归口。</w:t>
      </w:r>
    </w:p>
    <w:p>
      <w:pPr>
        <w:spacing w:before="40" w:after="0" w:line="360" w:lineRule="auto"/>
        <w:ind w:firstLine="34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本标准起草单位:中国安全生产科学研究院、国家安全生产应急救援中心、南方电网调峰调频发电有限公司。</w:t>
      </w:r>
    </w:p>
    <w:p>
      <w:pPr>
        <w:spacing w:before="40" w:after="0" w:line="360" w:lineRule="auto"/>
        <w:ind w:firstLine="34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本标准主要起草人:张兴凯、雷长群、高双喜、孔亮、时训先、闫立、石国领、张明、李定林、王文靖、陈兵、李永兴、李晖、蔡镇坤、徐斌、周劲松。</w:t>
      </w:r>
    </w:p>
    <w:p>
      <w:pPr>
        <w:spacing w:before="40" w:after="0" w:line="360" w:lineRule="auto"/>
        <w:ind w:firstLine="34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本标准所代替标准的历次版本发布情况为:</w:t>
      </w:r>
    </w:p>
    <w:p>
      <w:pPr>
        <w:spacing w:before="40" w:after="0" w:line="360" w:lineRule="auto"/>
        <w:ind w:firstLine="340"/>
        <w:jc w:val="left"/>
        <w:rPr>
          <w:rFonts w:hint="eastAsia"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—GB/T 29639—2013</w:t>
      </w:r>
      <w:r>
        <w:rPr>
          <w:rFonts w:hint="eastAsia" w:ascii="宋体" w:hAnsi="宋体" w:eastAsia="宋体" w:cs="宋体"/>
          <w:color w:val="000000" w:themeColor="text1"/>
          <w:sz w:val="24"/>
          <w:szCs w:val="24"/>
          <w:lang w:eastAsia="zh-CN"/>
          <w14:textFill>
            <w14:solidFill>
              <w14:schemeClr w14:val="tx1"/>
            </w14:solidFill>
          </w14:textFill>
        </w:rPr>
        <w:t>。</w:t>
      </w:r>
    </w:p>
    <w:p>
      <w:pPr>
        <w:spacing w:before="40" w:after="0" w:line="360" w:lineRule="auto"/>
        <w:ind w:firstLine="340"/>
        <w:jc w:val="left"/>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40"/>
        <w:jc w:val="left"/>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40"/>
        <w:jc w:val="left"/>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40"/>
        <w:jc w:val="left"/>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40"/>
        <w:jc w:val="center"/>
        <w:rPr>
          <w:rFonts w:hint="eastAsia" w:ascii="宋体" w:hAnsi="宋体" w:eastAsia="宋体" w:cs="宋体"/>
          <w:b/>
          <w:bCs/>
          <w:color w:val="000000" w:themeColor="text1"/>
          <w:sz w:val="30"/>
          <w:szCs w:val="30"/>
          <w14:textFill>
            <w14:solidFill>
              <w14:schemeClr w14:val="tx1"/>
            </w14:solidFill>
          </w14:textFill>
        </w:rPr>
      </w:pPr>
      <w:r>
        <w:rPr>
          <w:rFonts w:hint="eastAsia" w:ascii="宋体" w:hAnsi="宋体" w:eastAsia="宋体" w:cs="宋体"/>
          <w:b/>
          <w:bCs/>
          <w:color w:val="000000" w:themeColor="text1"/>
          <w:sz w:val="30"/>
          <w:szCs w:val="30"/>
          <w14:textFill>
            <w14:solidFill>
              <w14:schemeClr w14:val="tx1"/>
            </w14:solidFill>
          </w14:textFill>
        </w:rPr>
        <w:t>生产经营单位生产安全事故</w:t>
      </w:r>
    </w:p>
    <w:p>
      <w:pPr>
        <w:spacing w:before="40" w:after="0" w:line="360" w:lineRule="auto"/>
        <w:ind w:firstLine="340"/>
        <w:jc w:val="center"/>
        <w:rPr>
          <w:rFonts w:hint="eastAsia" w:ascii="宋体" w:hAnsi="宋体" w:eastAsia="宋体" w:cs="宋体"/>
          <w:b/>
          <w:bCs/>
          <w:color w:val="000000" w:themeColor="text1"/>
          <w:sz w:val="30"/>
          <w:szCs w:val="30"/>
          <w14:textFill>
            <w14:solidFill>
              <w14:schemeClr w14:val="tx1"/>
            </w14:solidFill>
          </w14:textFill>
        </w:rPr>
      </w:pPr>
      <w:r>
        <w:rPr>
          <w:rFonts w:hint="eastAsia" w:ascii="宋体" w:hAnsi="宋体" w:eastAsia="宋体" w:cs="宋体"/>
          <w:b/>
          <w:bCs/>
          <w:color w:val="000000" w:themeColor="text1"/>
          <w:sz w:val="30"/>
          <w:szCs w:val="30"/>
          <w14:textFill>
            <w14:solidFill>
              <w14:schemeClr w14:val="tx1"/>
            </w14:solidFill>
          </w14:textFill>
        </w:rPr>
        <w:t>应急预案编制导则</w:t>
      </w:r>
    </w:p>
    <w:p>
      <w:pPr>
        <w:spacing w:before="40" w:after="0" w:line="36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1范围</w:t>
      </w:r>
    </w:p>
    <w:p>
      <w:pPr>
        <w:spacing w:before="40" w:after="0" w:line="36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本标准给出了生产经营单位生产安全事故应急预案的编制程序、体系构成和综合应急预案、专项应急预案，现场处置方案的主要内容以及附件信息。</w:t>
      </w:r>
    </w:p>
    <w:p>
      <w:pPr>
        <w:spacing w:before="40" w:after="0" w:line="36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本标准适用于生产经营单位生产安全事故应急预案(以下简称应急预案)编制工作，核电厂、其他社会组织和单位的应急预案编制可参照本标准执行。</w:t>
      </w:r>
    </w:p>
    <w:p>
      <w:pPr>
        <w:spacing w:before="40" w:after="0" w:line="36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2规范性引用文件</w:t>
      </w:r>
    </w:p>
    <w:p>
      <w:pPr>
        <w:spacing w:before="40" w:after="0" w:line="36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下列文件对于本文件的应用是必不可少的。凡是注日期的引用文件，仅注日期的版本适用于本文件。凡是不注日期的引用文件，其最新版本(包括所有的修改单)适用于本文件。</w:t>
      </w:r>
    </w:p>
    <w:p>
      <w:pPr>
        <w:spacing w:before="40" w:after="0" w:line="36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AQ</w:t>
      </w:r>
      <w:r>
        <w:rPr>
          <w:rFonts w:hint="eastAsia" w:ascii="宋体" w:hAnsi="宋体" w:eastAsia="宋体" w:cs="宋体"/>
          <w:color w:val="000000" w:themeColor="text1"/>
          <w:sz w:val="24"/>
          <w:szCs w:val="24"/>
          <w:lang w:val="en-US"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T 9007</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生产安全事故应急演练基本规范</w:t>
      </w:r>
    </w:p>
    <w:p>
      <w:pPr>
        <w:spacing w:before="40" w:after="0" w:line="36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3术语和定义</w:t>
      </w:r>
    </w:p>
    <w:p>
      <w:pPr>
        <w:spacing w:before="40" w:after="0" w:line="360" w:lineRule="auto"/>
        <w:ind w:firstLine="480" w:firstLine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下列术语和定义适用于本文件。</w:t>
      </w:r>
    </w:p>
    <w:p>
      <w:pPr>
        <w:spacing w:before="40" w:after="0" w:line="360" w:lineRule="auto"/>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3.1</w:t>
      </w:r>
    </w:p>
    <w:p>
      <w:pPr>
        <w:spacing w:before="40" w:after="0" w:line="360" w:lineRule="auto"/>
        <w:ind w:firstLine="482" w:firstLineChars="200"/>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应急预案emergency response plan</w:t>
      </w:r>
    </w:p>
    <w:p>
      <w:pPr>
        <w:spacing w:before="40" w:after="0" w:line="36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针对可能发生的事故，为最大程度减少事故损害而预先制定的应急准备工作方案。</w:t>
      </w:r>
    </w:p>
    <w:p>
      <w:pPr>
        <w:spacing w:before="40" w:after="0" w:line="360" w:lineRule="auto"/>
        <w:jc w:val="both"/>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3.2</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p>
    <w:p>
      <w:pPr>
        <w:spacing w:before="40" w:after="0" w:line="360" w:lineRule="auto"/>
        <w:ind w:firstLine="482" w:firstLineChars="200"/>
        <w:jc w:val="both"/>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应急响应emergency response</w:t>
      </w:r>
    </w:p>
    <w:p>
      <w:pPr>
        <w:spacing w:before="40" w:after="0" w:line="36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针对事故险情或事故，依据应急预案采取的应急行动。</w:t>
      </w:r>
    </w:p>
    <w:p>
      <w:pPr>
        <w:spacing w:before="40" w:after="0" w:line="360" w:lineRule="auto"/>
        <w:jc w:val="left"/>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w:t>
      </w:r>
      <w:r>
        <w:rPr>
          <w:rFonts w:hint="eastAsia" w:ascii="宋体" w:hAnsi="宋体" w:eastAsia="宋体" w:cs="宋体"/>
          <w:color w:val="000000" w:themeColor="text1"/>
          <w:sz w:val="24"/>
          <w:szCs w:val="24"/>
          <w:lang w:val="en-US" w:eastAsia="zh-CN"/>
          <w14:textFill>
            <w14:solidFill>
              <w14:schemeClr w14:val="tx1"/>
            </w14:solidFill>
          </w14:textFill>
        </w:rPr>
        <w:t>3</w:t>
      </w:r>
    </w:p>
    <w:p>
      <w:pPr>
        <w:spacing w:before="40" w:after="0" w:line="360" w:lineRule="auto"/>
        <w:ind w:firstLine="482" w:firstLineChars="200"/>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应急演练emergeney exercise</w:t>
      </w:r>
    </w:p>
    <w:p>
      <w:pPr>
        <w:spacing w:before="40" w:after="0" w:line="36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针对可能发生的事故情景，依据应急预案而模拟开展的应急活动。</w:t>
      </w:r>
    </w:p>
    <w:p>
      <w:pPr>
        <w:spacing w:before="40" w:after="0" w:line="360" w:lineRule="auto"/>
        <w:jc w:val="both"/>
        <w:rPr>
          <w:rFonts w:hint="default" w:ascii="宋体" w:hAnsi="宋体" w:eastAsia="宋体" w:cs="宋体"/>
          <w:color w:val="000000" w:themeColor="text1"/>
          <w:sz w:val="24"/>
          <w:szCs w:val="24"/>
          <w:lang w:val="en-US" w:eastAsia="zh-CN"/>
          <w14:textFill>
            <w14:solidFill>
              <w14:schemeClr w14:val="tx1"/>
            </w14:solidFill>
          </w14:textFill>
        </w:rPr>
      </w:pPr>
      <w:r>
        <w:rPr>
          <w:rFonts w:hint="eastAsia" w:ascii="宋体" w:hAnsi="宋体" w:eastAsia="宋体" w:cs="宋体"/>
          <w:color w:val="000000" w:themeColor="text1"/>
          <w:sz w:val="24"/>
          <w:szCs w:val="24"/>
          <w:lang w:val="en-US" w:eastAsia="zh-CN"/>
          <w14:textFill>
            <w14:solidFill>
              <w14:schemeClr w14:val="tx1"/>
            </w14:solidFill>
          </w14:textFill>
        </w:rPr>
        <w:t>3.4</w:t>
      </w:r>
    </w:p>
    <w:p>
      <w:pPr>
        <w:spacing w:before="40" w:after="0" w:line="360" w:lineRule="auto"/>
        <w:ind w:firstLine="482" w:firstLineChars="200"/>
        <w:jc w:val="both"/>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应急预案评审emergency response plan review</w:t>
      </w:r>
    </w:p>
    <w:p>
      <w:pPr>
        <w:keepNext w:val="0"/>
        <w:keepLines w:val="0"/>
        <w:pageBreakBefore w:val="0"/>
        <w:widowControl w:val="0"/>
        <w:kinsoku/>
        <w:wordWrap/>
        <w:overflowPunct/>
        <w:topLinePunct w:val="0"/>
        <w:autoSpaceDE/>
        <w:autoSpaceDN/>
        <w:bidi w:val="0"/>
        <w:adjustRightInd/>
        <w:snapToGrid/>
        <w:spacing w:before="40" w:after="313" w:afterLines="100" w:line="360" w:lineRule="auto"/>
        <w:ind w:firstLine="480" w:firstLineChars="200"/>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对新编制或修订的应急预案内容的适用性所开展的分析评估及审定过程。</w:t>
      </w:r>
    </w:p>
    <w:p>
      <w:pPr>
        <w:keepNext w:val="0"/>
        <w:keepLines w:val="0"/>
        <w:pageBreakBefore w:val="0"/>
        <w:widowControl w:val="0"/>
        <w:kinsoku/>
        <w:wordWrap/>
        <w:overflowPunct/>
        <w:topLinePunct w:val="0"/>
        <w:autoSpaceDE/>
        <w:autoSpaceDN/>
        <w:bidi w:val="0"/>
        <w:adjustRightInd/>
        <w:snapToGrid/>
        <w:spacing w:before="40" w:after="313" w:afterLines="100" w:line="360" w:lineRule="auto"/>
        <w:jc w:val="left"/>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4</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应急预案编制程序</w:t>
      </w:r>
    </w:p>
    <w:p>
      <w:pPr>
        <w:spacing w:before="40" w:after="0" w:line="36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4.1</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概述</w:t>
      </w:r>
    </w:p>
    <w:p>
      <w:pPr>
        <w:spacing w:before="40" w:after="0" w:line="36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生产经营单位应急预案编制程序包括成立应急预案编制工作组、资料收集、风险评估、应急资源调查、应急预案编制、桌面推演、应急预案评审和批准实施8个步骤。</w:t>
      </w:r>
    </w:p>
    <w:p>
      <w:pPr>
        <w:spacing w:before="40" w:after="0" w:line="36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4.2</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成立应急预案编制工作组</w:t>
      </w:r>
    </w:p>
    <w:p>
      <w:pPr>
        <w:spacing w:before="40" w:after="0" w:line="36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结合本单位部门职能和分工，成立以单位有关负责人为组长，单位相关部门人员(如生产、</w:t>
      </w:r>
      <w:r>
        <w:rPr>
          <w:rFonts w:hint="eastAsia" w:ascii="宋体" w:hAnsi="宋体" w:eastAsia="宋体" w:cs="宋体"/>
          <w:color w:val="000000" w:themeColor="text1"/>
          <w:sz w:val="24"/>
          <w:szCs w:val="24"/>
          <w:lang w:eastAsia="zh-CN"/>
          <w14:textFill>
            <w14:solidFill>
              <w14:schemeClr w14:val="tx1"/>
            </w14:solidFill>
          </w14:textFill>
        </w:rPr>
        <w:t>技术</w:t>
      </w:r>
      <w:r>
        <w:rPr>
          <w:rFonts w:hint="eastAsia" w:ascii="宋体" w:hAnsi="宋体" w:eastAsia="宋体" w:cs="宋体"/>
          <w:color w:val="000000" w:themeColor="text1"/>
          <w:sz w:val="24"/>
          <w:szCs w:val="24"/>
          <w14:textFill>
            <w14:solidFill>
              <w14:schemeClr w14:val="tx1"/>
            </w14:solidFill>
          </w14:textFill>
        </w:rPr>
        <w:t>，设备、安全、行政、人事、财务人员）参加的应急预案编制工作组，明确工作职责和任务分工，制定工作计划，组织开展应急预案编制工作，预案编制工作组中应邀请相关救援队伍以及周边相关企业、单位或社区代表参加。</w:t>
      </w:r>
    </w:p>
    <w:p>
      <w:pPr>
        <w:spacing w:before="40" w:after="0" w:line="36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4.3</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资料收集</w:t>
      </w:r>
    </w:p>
    <w:p>
      <w:pPr>
        <w:spacing w:before="40" w:after="0" w:line="360" w:lineRule="auto"/>
        <w:ind w:firstLine="480" w:firstLine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应急预案编制工作组应收集下列相关资料:</w:t>
      </w:r>
    </w:p>
    <w:p>
      <w:pPr>
        <w:spacing w:before="40" w:after="0" w:line="360" w:lineRule="auto"/>
        <w:ind w:firstLine="480" w:firstLineChars="200"/>
        <w:jc w:val="both"/>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a）适用的法律法规、部门规章、地方性法规和政府规章、技术标准及规范性文件</w:t>
      </w:r>
      <w:r>
        <w:rPr>
          <w:rFonts w:hint="eastAsia" w:ascii="宋体" w:hAnsi="宋体" w:eastAsia="宋体" w:cs="宋体"/>
          <w:color w:val="000000" w:themeColor="text1"/>
          <w:sz w:val="24"/>
          <w:szCs w:val="24"/>
          <w:lang w:eastAsia="zh-CN"/>
          <w14:textFill>
            <w14:solidFill>
              <w14:schemeClr w14:val="tx1"/>
            </w14:solidFill>
          </w14:textFill>
        </w:rPr>
        <w:t>；</w:t>
      </w:r>
    </w:p>
    <w:p>
      <w:pPr>
        <w:spacing w:before="40" w:after="0" w:line="36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b）企业周边地质、地形、环境情况及气象、水文、交通资料</w:t>
      </w:r>
      <w:r>
        <w:rPr>
          <w:rFonts w:hint="eastAsia" w:ascii="宋体" w:hAnsi="宋体" w:eastAsia="宋体" w:cs="宋体"/>
          <w:color w:val="000000" w:themeColor="text1"/>
          <w:sz w:val="24"/>
          <w:szCs w:val="24"/>
          <w:lang w:eastAsia="zh-CN"/>
          <w14:textFill>
            <w14:solidFill>
              <w14:schemeClr w14:val="tx1"/>
            </w14:solidFill>
          </w14:textFill>
        </w:rPr>
        <w:t>；</w:t>
      </w:r>
    </w:p>
    <w:p>
      <w:pPr>
        <w:spacing w:before="40" w:after="0" w:line="36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c）企业现场功能区划分、建（构）筑物平面布置及安全距离资料</w:t>
      </w:r>
      <w:r>
        <w:rPr>
          <w:rFonts w:hint="eastAsia" w:ascii="宋体" w:hAnsi="宋体" w:eastAsia="宋体" w:cs="宋体"/>
          <w:color w:val="000000" w:themeColor="text1"/>
          <w:sz w:val="24"/>
          <w:szCs w:val="24"/>
          <w:lang w:eastAsia="zh-CN"/>
          <w14:textFill>
            <w14:solidFill>
              <w14:schemeClr w14:val="tx1"/>
            </w14:solidFill>
          </w14:textFill>
        </w:rPr>
        <w:t>；</w:t>
      </w:r>
    </w:p>
    <w:p>
      <w:pPr>
        <w:spacing w:before="40" w:after="0" w:line="36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d）企业工艺流程、工艺参数、作业条件、设备装置及风险评估资料</w:t>
      </w:r>
      <w:r>
        <w:rPr>
          <w:rFonts w:hint="eastAsia" w:ascii="宋体" w:hAnsi="宋体" w:eastAsia="宋体" w:cs="宋体"/>
          <w:color w:val="000000" w:themeColor="text1"/>
          <w:sz w:val="24"/>
          <w:szCs w:val="24"/>
          <w:lang w:eastAsia="zh-CN"/>
          <w14:textFill>
            <w14:solidFill>
              <w14:schemeClr w14:val="tx1"/>
            </w14:solidFill>
          </w14:textFill>
        </w:rPr>
        <w:t>；</w:t>
      </w:r>
    </w:p>
    <w:p>
      <w:pPr>
        <w:spacing w:before="40" w:after="0" w:line="36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e）本企业历史事故与隐患、国内外同行业事故资料</w:t>
      </w:r>
      <w:r>
        <w:rPr>
          <w:rFonts w:hint="eastAsia" w:ascii="宋体" w:hAnsi="宋体" w:eastAsia="宋体" w:cs="宋体"/>
          <w:color w:val="000000" w:themeColor="text1"/>
          <w:sz w:val="24"/>
          <w:szCs w:val="24"/>
          <w:lang w:eastAsia="zh-CN"/>
          <w14:textFill>
            <w14:solidFill>
              <w14:schemeClr w14:val="tx1"/>
            </w14:solidFill>
          </w14:textFill>
        </w:rPr>
        <w:t>；</w:t>
      </w:r>
    </w:p>
    <w:p>
      <w:pPr>
        <w:spacing w:before="40" w:after="0" w:line="360" w:lineRule="auto"/>
        <w:ind w:firstLine="480" w:firstLine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f）属地政府及周边企业、单位应急预案。</w:t>
      </w:r>
    </w:p>
    <w:p>
      <w:pPr>
        <w:spacing w:before="40" w:after="0" w:line="36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4.4</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风险评估</w:t>
      </w:r>
    </w:p>
    <w:p>
      <w:pPr>
        <w:spacing w:before="40" w:after="0" w:line="36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开展生产安全事故风险评估，撰写评估报告(编制大纲参见附录A)，其内容包括但不限于:</w:t>
      </w:r>
    </w:p>
    <w:p>
      <w:pPr>
        <w:spacing w:before="40" w:after="0" w:line="36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a）辨识生产经营单位存在的危险有害因素，确定可能发生的生产安全事故类别</w:t>
      </w:r>
      <w:r>
        <w:rPr>
          <w:rFonts w:hint="eastAsia" w:ascii="宋体" w:hAnsi="宋体" w:eastAsia="宋体" w:cs="宋体"/>
          <w:color w:val="000000" w:themeColor="text1"/>
          <w:sz w:val="24"/>
          <w:szCs w:val="24"/>
          <w:lang w:eastAsia="zh-CN"/>
          <w14:textFill>
            <w14:solidFill>
              <w14:schemeClr w14:val="tx1"/>
            </w14:solidFill>
          </w14:textFill>
        </w:rPr>
        <w:t>；</w:t>
      </w:r>
    </w:p>
    <w:p>
      <w:pPr>
        <w:spacing w:before="40" w:after="0" w:line="36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b）分析各种事故类别发生的可能性、危害后果和影响范围</w:t>
      </w:r>
      <w:r>
        <w:rPr>
          <w:rFonts w:hint="eastAsia" w:ascii="宋体" w:hAnsi="宋体" w:eastAsia="宋体" w:cs="宋体"/>
          <w:color w:val="000000" w:themeColor="text1"/>
          <w:sz w:val="24"/>
          <w:szCs w:val="24"/>
          <w:lang w:eastAsia="zh-CN"/>
          <w14:textFill>
            <w14:solidFill>
              <w14:schemeClr w14:val="tx1"/>
            </w14:solidFill>
          </w14:textFill>
        </w:rPr>
        <w:t>；</w:t>
      </w:r>
    </w:p>
    <w:p>
      <w:pPr>
        <w:spacing w:before="40" w:after="0" w:line="360" w:lineRule="auto"/>
        <w:ind w:firstLine="480" w:firstLine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c）评估确定相应事故类别的风险等级。</w:t>
      </w:r>
    </w:p>
    <w:p>
      <w:pPr>
        <w:spacing w:before="40" w:after="0" w:line="36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4.5</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应急资源调查</w:t>
      </w:r>
    </w:p>
    <w:p>
      <w:pPr>
        <w:spacing w:before="40" w:after="0" w:line="36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全面调查和客观分析本单位以及周边单位和政府部门可请求援助的应急资源状况﹐撰写应急资源调查报告（编制大纲参见附录B），其内容包括但不限于:</w:t>
      </w:r>
    </w:p>
    <w:p>
      <w:pPr>
        <w:spacing w:before="40" w:after="0" w:line="36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a）本单位可调用的应急队伍、装备、物资、场所</w:t>
      </w:r>
      <w:r>
        <w:rPr>
          <w:rFonts w:hint="eastAsia" w:ascii="宋体" w:hAnsi="宋体" w:eastAsia="宋体" w:cs="宋体"/>
          <w:color w:val="000000" w:themeColor="text1"/>
          <w:sz w:val="24"/>
          <w:szCs w:val="24"/>
          <w:lang w:eastAsia="zh-CN"/>
          <w14:textFill>
            <w14:solidFill>
              <w14:schemeClr w14:val="tx1"/>
            </w14:solidFill>
          </w14:textFill>
        </w:rPr>
        <w:t>；</w:t>
      </w:r>
    </w:p>
    <w:p>
      <w:pPr>
        <w:spacing w:before="40" w:after="0" w:line="36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b）针对生产过程及存在的风险可采取的监测、监控、报警手段</w:t>
      </w:r>
      <w:r>
        <w:rPr>
          <w:rFonts w:hint="eastAsia" w:ascii="宋体" w:hAnsi="宋体" w:eastAsia="宋体" w:cs="宋体"/>
          <w:color w:val="000000" w:themeColor="text1"/>
          <w:sz w:val="24"/>
          <w:szCs w:val="24"/>
          <w:lang w:eastAsia="zh-CN"/>
          <w14:textFill>
            <w14:solidFill>
              <w14:schemeClr w14:val="tx1"/>
            </w14:solidFill>
          </w14:textFill>
        </w:rPr>
        <w:t>；</w:t>
      </w:r>
    </w:p>
    <w:p>
      <w:pPr>
        <w:spacing w:before="40" w:after="0" w:line="36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c）上级单位、当地政府及周边企业可提供的应急资源</w:t>
      </w:r>
      <w:r>
        <w:rPr>
          <w:rFonts w:hint="eastAsia" w:ascii="宋体" w:hAnsi="宋体" w:eastAsia="宋体" w:cs="宋体"/>
          <w:color w:val="000000" w:themeColor="text1"/>
          <w:sz w:val="24"/>
          <w:szCs w:val="24"/>
          <w:lang w:eastAsia="zh-CN"/>
          <w14:textFill>
            <w14:solidFill>
              <w14:schemeClr w14:val="tx1"/>
            </w14:solidFill>
          </w14:textFill>
        </w:rPr>
        <w:t>；</w:t>
      </w:r>
    </w:p>
    <w:p>
      <w:pPr>
        <w:spacing w:before="40" w:after="0" w:line="36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d）可协调使用的医疗、消防、专业抢险救援机构及其他社会化应急救援力量。</w:t>
      </w:r>
    </w:p>
    <w:p>
      <w:pPr>
        <w:spacing w:before="40" w:after="0" w:line="36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4</w:t>
      </w:r>
      <w:r>
        <w:rPr>
          <w:rFonts w:hint="eastAsia" w:ascii="宋体" w:hAnsi="宋体" w:eastAsia="宋体" w:cs="宋体"/>
          <w:b/>
          <w:bCs/>
          <w:color w:val="000000" w:themeColor="text1"/>
          <w:sz w:val="24"/>
          <w:szCs w:val="24"/>
          <w:lang w:val="en-US" w:eastAsia="zh-CN"/>
          <w14:textFill>
            <w14:solidFill>
              <w14:schemeClr w14:val="tx1"/>
            </w14:solidFill>
          </w14:textFill>
        </w:rPr>
        <w:t>.</w:t>
      </w:r>
      <w:r>
        <w:rPr>
          <w:rFonts w:hint="eastAsia" w:ascii="宋体" w:hAnsi="宋体" w:eastAsia="宋体" w:cs="宋体"/>
          <w:b/>
          <w:bCs/>
          <w:color w:val="000000" w:themeColor="text1"/>
          <w:sz w:val="24"/>
          <w:szCs w:val="24"/>
          <w14:textFill>
            <w14:solidFill>
              <w14:schemeClr w14:val="tx1"/>
            </w14:solidFill>
          </w14:textFill>
        </w:rPr>
        <w:t>6</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应急预案编制</w:t>
      </w:r>
    </w:p>
    <w:p>
      <w:pPr>
        <w:spacing w:before="40" w:after="0" w:line="360" w:lineRule="auto"/>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4.6.1应急预案编制应当遵循以人为本、依法依规、符合实际、注重实效的原则，以应急处置为核心，体现自救互救和先期处置的特点，做到职责明确、程序规范、措施科学，尽可能简明化、图表化、流程化。应急预案编制格式和要求参见附录C.</w:t>
      </w:r>
    </w:p>
    <w:p>
      <w:pPr>
        <w:spacing w:before="40" w:after="0" w:line="360" w:lineRule="auto"/>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4.6.2应急预案编制工作包括但不限下列:</w:t>
      </w:r>
    </w:p>
    <w:p>
      <w:pPr>
        <w:spacing w:before="40" w:after="0" w:line="36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a）依据事故风险评估及应急资源调查结果，结合本单位组织管理体系、生产规模及处置特点，合理确立本单位应急预案体系:</w:t>
      </w:r>
    </w:p>
    <w:p>
      <w:pPr>
        <w:spacing w:before="40" w:after="0" w:line="360" w:lineRule="auto"/>
        <w:ind w:firstLine="480" w:firstLineChars="200"/>
        <w:jc w:val="both"/>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b）结合组织管理体系及部门业务职能划分，科学设定本单位应急组织机构及职责分工</w:t>
      </w:r>
      <w:r>
        <w:rPr>
          <w:rFonts w:hint="eastAsia" w:ascii="宋体" w:hAnsi="宋体" w:eastAsia="宋体" w:cs="宋体"/>
          <w:color w:val="000000" w:themeColor="text1"/>
          <w:sz w:val="24"/>
          <w:szCs w:val="24"/>
          <w:lang w:eastAsia="zh-CN"/>
          <w14:textFill>
            <w14:solidFill>
              <w14:schemeClr w14:val="tx1"/>
            </w14:solidFill>
          </w14:textFill>
        </w:rPr>
        <w:t>；</w:t>
      </w:r>
    </w:p>
    <w:p>
      <w:pPr>
        <w:spacing w:before="40" w:after="0" w:line="360" w:lineRule="auto"/>
        <w:ind w:firstLine="480" w:firstLineChars="200"/>
        <w:jc w:val="both"/>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c)依据事故可能的危害程度和区域范围，结合应急处置权限及能力，清晰界定本单位的响应分级标准，制定相应层级的应急处置措施</w:t>
      </w:r>
      <w:r>
        <w:rPr>
          <w:rFonts w:hint="eastAsia" w:ascii="宋体" w:hAnsi="宋体" w:eastAsia="宋体" w:cs="宋体"/>
          <w:color w:val="000000" w:themeColor="text1"/>
          <w:sz w:val="24"/>
          <w:szCs w:val="24"/>
          <w:lang w:eastAsia="zh-CN"/>
          <w14:textFill>
            <w14:solidFill>
              <w14:schemeClr w14:val="tx1"/>
            </w14:solidFill>
          </w14:textFill>
        </w:rPr>
        <w:t>；</w:t>
      </w:r>
    </w:p>
    <w:p>
      <w:pPr>
        <w:spacing w:before="40" w:after="0" w:line="36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d)按照有关规定和要求，确定事故信息报告、响应分级与启动、指挥权移交、警戒疏散方面的内容，落实与相关部门和单位应急预案的衔接。</w:t>
      </w:r>
    </w:p>
    <w:p>
      <w:pPr>
        <w:spacing w:before="40" w:after="0" w:line="36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4.7</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桌面推演</w:t>
      </w:r>
    </w:p>
    <w:p>
      <w:pPr>
        <w:spacing w:before="40" w:after="0" w:line="360" w:lineRule="auto"/>
        <w:ind w:firstLine="480" w:firstLine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按照应急预案明确的职责分工和应急响应程序，结合有关经验教训，相关部门及其人员可采取桌面 演练的形式，模拟生产安全事故应对过程，逐步分析讨论并形成记录，检验应急预案的可行性，并进一步完善应急预案。桌面演练的相关要求参见AQ/T9007。</w:t>
      </w:r>
    </w:p>
    <w:p>
      <w:pPr>
        <w:spacing w:before="40" w:after="0" w:line="36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4.8</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应急预案评审</w:t>
      </w:r>
    </w:p>
    <w:p>
      <w:pPr>
        <w:spacing w:before="40" w:after="0" w:line="36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4.8.1评审形式</w:t>
      </w:r>
    </w:p>
    <w:p>
      <w:pPr>
        <w:spacing w:before="40" w:after="0" w:line="360" w:lineRule="auto"/>
        <w:ind w:firstLine="3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应急预案编制完成后，生产经营单位应按法律法规有关规定组织评审或论证。参加应急预案评审的人员可包括有关安全生产及应急管理方面的、有现场处置经验的专家。应急预案论证可通过推演的方式开展。</w:t>
      </w:r>
    </w:p>
    <w:p>
      <w:pPr>
        <w:spacing w:before="40" w:after="0" w:line="36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4.8.2评审内容</w:t>
      </w:r>
    </w:p>
    <w:p>
      <w:pPr>
        <w:spacing w:before="40" w:after="0" w:line="360" w:lineRule="auto"/>
        <w:ind w:firstLine="3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应急预案评审内容主要包括:风险评估和应急资源调查的全面性、应急预案体系设计的针对性、应急组织体系的合理性、应急响应程序和措施的科学性、应急保障措施的可行性、应急预案的衔接性。</w:t>
      </w:r>
    </w:p>
    <w:p>
      <w:pPr>
        <w:keepNext w:val="0"/>
        <w:keepLines w:val="0"/>
        <w:pageBreakBefore w:val="0"/>
        <w:widowControl w:val="0"/>
        <w:kinsoku/>
        <w:wordWrap/>
        <w:overflowPunct/>
        <w:topLinePunct w:val="0"/>
        <w:autoSpaceDE/>
        <w:autoSpaceDN/>
        <w:bidi w:val="0"/>
        <w:adjustRightInd/>
        <w:snapToGrid/>
        <w:spacing w:before="40" w:after="0" w:line="440" w:lineRule="exact"/>
        <w:jc w:val="left"/>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4.8.3评审程序</w:t>
      </w:r>
    </w:p>
    <w:p>
      <w:pPr>
        <w:keepNext w:val="0"/>
        <w:keepLines w:val="0"/>
        <w:pageBreakBefore w:val="0"/>
        <w:widowControl w:val="0"/>
        <w:kinsoku/>
        <w:wordWrap/>
        <w:overflowPunct/>
        <w:topLinePunct w:val="0"/>
        <w:autoSpaceDE/>
        <w:autoSpaceDN/>
        <w:bidi w:val="0"/>
        <w:adjustRightInd/>
        <w:snapToGrid/>
        <w:spacing w:before="40" w:after="0" w:line="440" w:lineRule="exact"/>
        <w:ind w:firstLine="480" w:firstLineChars="200"/>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应急预案评审程序包括以下步骤:</w:t>
      </w:r>
    </w:p>
    <w:p>
      <w:pPr>
        <w:keepNext w:val="0"/>
        <w:keepLines w:val="0"/>
        <w:pageBreakBefore w:val="0"/>
        <w:widowControl w:val="0"/>
        <w:kinsoku/>
        <w:wordWrap/>
        <w:overflowPunct/>
        <w:topLinePunct w:val="0"/>
        <w:autoSpaceDE/>
        <w:autoSpaceDN/>
        <w:bidi w:val="0"/>
        <w:adjustRightInd/>
        <w:snapToGrid/>
        <w:spacing w:before="40" w:after="0" w:line="440" w:lineRule="exact"/>
        <w:ind w:firstLine="380"/>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a)评审准备。成立应急预案评审工作组，落实参加评审的专家，将应急预案、编制说明、风险评估、应急资源调查报告及其他有关资料在评审前送达参加评审的单位或人员。</w:t>
      </w:r>
    </w:p>
    <w:p>
      <w:pPr>
        <w:keepNext w:val="0"/>
        <w:keepLines w:val="0"/>
        <w:pageBreakBefore w:val="0"/>
        <w:widowControl w:val="0"/>
        <w:kinsoku/>
        <w:wordWrap/>
        <w:overflowPunct/>
        <w:topLinePunct w:val="0"/>
        <w:autoSpaceDE/>
        <w:autoSpaceDN/>
        <w:bidi w:val="0"/>
        <w:adjustRightInd/>
        <w:snapToGrid/>
        <w:spacing w:before="40" w:after="0" w:line="440" w:lineRule="exact"/>
        <w:ind w:firstLine="380"/>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b)组织评审。评审采取会议审查形式，企业主要负责人参加会议，会议由参加评审的专家共同推选出的组长主持，按照议程组织评审</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表决时，应有不少于出席会议专家人数的三分之二同意方为通过:评审会议应形成评审意见(经评审组组长签字)，附参加评审会议的专家签字表。 表决的投票情况应当以书面材料记录在案，并作为评审意见的附件。</w:t>
      </w:r>
    </w:p>
    <w:p>
      <w:pPr>
        <w:keepNext w:val="0"/>
        <w:keepLines w:val="0"/>
        <w:pageBreakBefore w:val="0"/>
        <w:widowControl w:val="0"/>
        <w:kinsoku/>
        <w:wordWrap/>
        <w:overflowPunct/>
        <w:topLinePunct w:val="0"/>
        <w:autoSpaceDE/>
        <w:autoSpaceDN/>
        <w:bidi w:val="0"/>
        <w:adjustRightInd/>
        <w:snapToGrid/>
        <w:spacing w:before="40" w:after="0" w:line="440" w:lineRule="exact"/>
        <w:ind w:firstLine="380"/>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修改完善。生产经营单位应认真分析研究，按照评审意见对应急预案进行修订和完善。评审表决不通过的，生产经营单位应修改完善后按评审程序重新组织专家评审，生产经营单位应写出根据专家评审意见的修改情况说明，并经专家组组长签字确认。</w:t>
      </w:r>
    </w:p>
    <w:p>
      <w:pPr>
        <w:keepNext w:val="0"/>
        <w:keepLines w:val="0"/>
        <w:pageBreakBefore w:val="0"/>
        <w:widowControl w:val="0"/>
        <w:kinsoku/>
        <w:wordWrap/>
        <w:overflowPunct/>
        <w:topLinePunct w:val="0"/>
        <w:autoSpaceDE/>
        <w:autoSpaceDN/>
        <w:bidi w:val="0"/>
        <w:adjustRightInd/>
        <w:snapToGrid/>
        <w:spacing w:before="40" w:after="0" w:line="440" w:lineRule="exact"/>
        <w:jc w:val="both"/>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4.9</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批准实施</w:t>
      </w:r>
    </w:p>
    <w:p>
      <w:pPr>
        <w:keepNext w:val="0"/>
        <w:keepLines w:val="0"/>
        <w:pageBreakBefore w:val="0"/>
        <w:widowControl w:val="0"/>
        <w:kinsoku/>
        <w:wordWrap/>
        <w:overflowPunct/>
        <w:topLinePunct w:val="0"/>
        <w:autoSpaceDE/>
        <w:autoSpaceDN/>
        <w:bidi w:val="0"/>
        <w:adjustRightInd/>
        <w:snapToGrid/>
        <w:spacing w:before="40" w:after="0" w:line="440" w:lineRule="exact"/>
        <w:ind w:firstLine="380"/>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通过评审的应急预案，由生产经营单位主要负责人签发实施。</w:t>
      </w:r>
    </w:p>
    <w:p>
      <w:pPr>
        <w:keepNext w:val="0"/>
        <w:keepLines w:val="0"/>
        <w:pageBreakBefore w:val="0"/>
        <w:widowControl w:val="0"/>
        <w:kinsoku/>
        <w:wordWrap/>
        <w:overflowPunct/>
        <w:topLinePunct w:val="0"/>
        <w:autoSpaceDE/>
        <w:autoSpaceDN/>
        <w:bidi w:val="0"/>
        <w:adjustRightInd/>
        <w:snapToGrid/>
        <w:spacing w:before="40" w:after="0" w:line="440" w:lineRule="exact"/>
        <w:jc w:val="left"/>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5</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应急预案体系</w:t>
      </w:r>
    </w:p>
    <w:p>
      <w:pPr>
        <w:keepNext w:val="0"/>
        <w:keepLines w:val="0"/>
        <w:pageBreakBefore w:val="0"/>
        <w:widowControl w:val="0"/>
        <w:kinsoku/>
        <w:wordWrap/>
        <w:overflowPunct/>
        <w:topLinePunct w:val="0"/>
        <w:autoSpaceDE/>
        <w:autoSpaceDN/>
        <w:bidi w:val="0"/>
        <w:adjustRightInd/>
        <w:snapToGrid/>
        <w:spacing w:before="40" w:after="0" w:line="440" w:lineRule="exact"/>
        <w:jc w:val="left"/>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5.1概述</w:t>
      </w:r>
    </w:p>
    <w:p>
      <w:pPr>
        <w:keepNext w:val="0"/>
        <w:keepLines w:val="0"/>
        <w:pageBreakBefore w:val="0"/>
        <w:widowControl w:val="0"/>
        <w:kinsoku/>
        <w:wordWrap/>
        <w:overflowPunct/>
        <w:topLinePunct w:val="0"/>
        <w:autoSpaceDE/>
        <w:autoSpaceDN/>
        <w:bidi w:val="0"/>
        <w:adjustRightInd/>
        <w:snapToGrid/>
        <w:spacing w:before="40" w:after="0" w:line="440" w:lineRule="exact"/>
        <w:ind w:firstLine="380"/>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生产经营单位应急预案分为综合应急预案、专项应急预案和现场处置方案。生产经营单位应当根据有关法律、法规和相关标准，结合本单位组织管理体系、生产规模和可能发生的事故特点，科学合理确立本单位的应急预案体系，并注意与其他类别应急预案相衔接。</w:t>
      </w:r>
    </w:p>
    <w:p>
      <w:pPr>
        <w:keepNext w:val="0"/>
        <w:keepLines w:val="0"/>
        <w:pageBreakBefore w:val="0"/>
        <w:widowControl w:val="0"/>
        <w:kinsoku/>
        <w:wordWrap/>
        <w:overflowPunct/>
        <w:topLinePunct w:val="0"/>
        <w:autoSpaceDE/>
        <w:autoSpaceDN/>
        <w:bidi w:val="0"/>
        <w:adjustRightInd/>
        <w:snapToGrid/>
        <w:spacing w:before="40" w:after="0" w:line="440" w:lineRule="exact"/>
        <w:jc w:val="left"/>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5.2</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综合应急预案</w:t>
      </w:r>
    </w:p>
    <w:p>
      <w:pPr>
        <w:keepNext w:val="0"/>
        <w:keepLines w:val="0"/>
        <w:pageBreakBefore w:val="0"/>
        <w:widowControl w:val="0"/>
        <w:kinsoku/>
        <w:wordWrap/>
        <w:overflowPunct/>
        <w:topLinePunct w:val="0"/>
        <w:autoSpaceDE/>
        <w:autoSpaceDN/>
        <w:bidi w:val="0"/>
        <w:adjustRightInd/>
        <w:snapToGrid/>
        <w:spacing w:before="40" w:after="0" w:line="440" w:lineRule="exact"/>
        <w:ind w:firstLine="480" w:firstLineChars="200"/>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综合应急预案是指生产经营单位为应对各种生产安全事故而制定的综合性工作方案，是本单位应对生产安全事故的总体工作程序、措施和应急预案体系的总纲。</w:t>
      </w:r>
    </w:p>
    <w:p>
      <w:pPr>
        <w:keepNext w:val="0"/>
        <w:keepLines w:val="0"/>
        <w:pageBreakBefore w:val="0"/>
        <w:widowControl w:val="0"/>
        <w:kinsoku/>
        <w:wordWrap/>
        <w:overflowPunct/>
        <w:topLinePunct w:val="0"/>
        <w:autoSpaceDE/>
        <w:autoSpaceDN/>
        <w:bidi w:val="0"/>
        <w:adjustRightInd/>
        <w:snapToGrid/>
        <w:spacing w:before="40" w:after="0" w:line="440" w:lineRule="exact"/>
        <w:jc w:val="left"/>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5.3</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专项应急预案</w:t>
      </w:r>
    </w:p>
    <w:p>
      <w:pPr>
        <w:keepNext w:val="0"/>
        <w:keepLines w:val="0"/>
        <w:pageBreakBefore w:val="0"/>
        <w:widowControl w:val="0"/>
        <w:kinsoku/>
        <w:wordWrap/>
        <w:overflowPunct/>
        <w:topLinePunct w:val="0"/>
        <w:autoSpaceDE/>
        <w:autoSpaceDN/>
        <w:bidi w:val="0"/>
        <w:adjustRightInd/>
        <w:snapToGrid/>
        <w:spacing w:before="40" w:after="0" w:line="440" w:lineRule="exact"/>
        <w:ind w:firstLine="480" w:firstLineChars="200"/>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专项应急预案是指生产经营单位为应对某一种或者多种类型生产安全事故，或者针对重要生产设施、重大危险源、重大活动防止生产安全事故而制定的专项工作方案。</w:t>
      </w:r>
    </w:p>
    <w:p>
      <w:pPr>
        <w:keepNext w:val="0"/>
        <w:keepLines w:val="0"/>
        <w:pageBreakBefore w:val="0"/>
        <w:widowControl w:val="0"/>
        <w:kinsoku/>
        <w:wordWrap/>
        <w:overflowPunct/>
        <w:topLinePunct w:val="0"/>
        <w:autoSpaceDE/>
        <w:autoSpaceDN/>
        <w:bidi w:val="0"/>
        <w:adjustRightInd/>
        <w:snapToGrid/>
        <w:spacing w:before="40" w:after="0" w:line="440" w:lineRule="exact"/>
        <w:ind w:firstLine="340"/>
        <w:jc w:val="left"/>
        <w:textAlignment w:val="auto"/>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pPr>
      <w:r>
        <w:rPr>
          <w:rFonts w:hint="eastAsia" w:ascii="宋体" w:hAnsi="宋体" w:eastAsia="宋体" w:cs="宋体"/>
          <w:color w:val="000000" w:themeColor="text1"/>
          <w:sz w:val="24"/>
          <w:szCs w:val="24"/>
          <w14:textFill>
            <w14:solidFill>
              <w14:schemeClr w14:val="tx1"/>
            </w14:solidFill>
          </w14:textFill>
        </w:rPr>
        <w:t>专项应急预案与综合应急预案中的应急组织机构、应急响应程序相近时，可不编写专项应急预案，</w:t>
      </w:r>
      <w:r>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t>相应的应急处置措施并入综合应急预案。</w:t>
      </w:r>
    </w:p>
    <w:p>
      <w:pPr>
        <w:keepNext w:val="0"/>
        <w:keepLines w:val="0"/>
        <w:pageBreakBefore w:val="0"/>
        <w:widowControl w:val="0"/>
        <w:kinsoku/>
        <w:wordWrap/>
        <w:overflowPunct/>
        <w:topLinePunct w:val="0"/>
        <w:autoSpaceDE/>
        <w:autoSpaceDN/>
        <w:bidi w:val="0"/>
        <w:adjustRightInd/>
        <w:snapToGrid/>
        <w:spacing w:before="40" w:after="0" w:line="440" w:lineRule="exact"/>
        <w:jc w:val="left"/>
        <w:textAlignment w:val="auto"/>
        <w:rPr>
          <w:rFonts w:hint="eastAsia" w:ascii="宋体" w:hAnsi="宋体" w:eastAsia="宋体" w:cs="宋体"/>
          <w:b/>
          <w:bCs/>
          <w:color w:val="0D0D0D" w:themeColor="text1" w:themeTint="F2"/>
          <w:sz w:val="24"/>
          <w:szCs w:val="24"/>
          <w14:textFill>
            <w14:solidFill>
              <w14:schemeClr w14:val="tx1">
                <w14:lumMod w14:val="95000"/>
                <w14:lumOff w14:val="5000"/>
              </w14:schemeClr>
            </w14:solidFill>
          </w14:textFill>
        </w:rPr>
      </w:pPr>
      <w:r>
        <w:rPr>
          <w:rFonts w:hint="eastAsia" w:ascii="宋体" w:hAnsi="宋体" w:eastAsia="宋体" w:cs="宋体"/>
          <w:b/>
          <w:bCs/>
          <w:color w:val="0D0D0D" w:themeColor="text1" w:themeTint="F2"/>
          <w:sz w:val="24"/>
          <w:szCs w:val="24"/>
          <w14:textFill>
            <w14:solidFill>
              <w14:schemeClr w14:val="tx1">
                <w14:lumMod w14:val="95000"/>
                <w14:lumOff w14:val="5000"/>
              </w14:schemeClr>
            </w14:solidFill>
          </w14:textFill>
        </w:rPr>
        <w:t>5.4</w:t>
      </w:r>
      <w:r>
        <w:rPr>
          <w:rFonts w:hint="eastAsia" w:ascii="宋体" w:hAnsi="宋体" w:eastAsia="宋体" w:cs="宋体"/>
          <w:b/>
          <w:bCs/>
          <w:color w:val="0D0D0D" w:themeColor="text1" w:themeTint="F2"/>
          <w:sz w:val="24"/>
          <w:szCs w:val="24"/>
          <w:lang w:val="en-US" w:eastAsia="zh-CN"/>
          <w14:textFill>
            <w14:solidFill>
              <w14:schemeClr w14:val="tx1">
                <w14:lumMod w14:val="95000"/>
                <w14:lumOff w14:val="5000"/>
              </w14:schemeClr>
            </w14:solidFill>
          </w14:textFill>
        </w:rPr>
        <w:t xml:space="preserve"> </w:t>
      </w:r>
      <w:r>
        <w:rPr>
          <w:rFonts w:hint="eastAsia" w:ascii="宋体" w:hAnsi="宋体" w:eastAsia="宋体" w:cs="宋体"/>
          <w:b/>
          <w:bCs/>
          <w:color w:val="0D0D0D" w:themeColor="text1" w:themeTint="F2"/>
          <w:sz w:val="24"/>
          <w:szCs w:val="24"/>
          <w14:textFill>
            <w14:solidFill>
              <w14:schemeClr w14:val="tx1">
                <w14:lumMod w14:val="95000"/>
                <w14:lumOff w14:val="5000"/>
              </w14:schemeClr>
            </w14:solidFill>
          </w14:textFill>
        </w:rPr>
        <w:t>现场处置方案</w:t>
      </w:r>
    </w:p>
    <w:p>
      <w:pPr>
        <w:keepNext w:val="0"/>
        <w:keepLines w:val="0"/>
        <w:pageBreakBefore w:val="0"/>
        <w:widowControl w:val="0"/>
        <w:kinsoku/>
        <w:wordWrap/>
        <w:overflowPunct/>
        <w:topLinePunct w:val="0"/>
        <w:autoSpaceDE/>
        <w:autoSpaceDN/>
        <w:bidi w:val="0"/>
        <w:adjustRightInd/>
        <w:snapToGrid/>
        <w:spacing w:before="40" w:after="0" w:line="440" w:lineRule="exact"/>
        <w:ind w:firstLine="480" w:firstLineChars="200"/>
        <w:jc w:val="both"/>
        <w:textAlignment w:val="auto"/>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pPr>
      <w:r>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t>现场处置方案是指生产经营单位根据不同生产安全事故类型，针对具体场所、装置或者设施所制定的应急处置措施。现场处置方案重点规范事故风险描述、应急工作职责、应急处置措施和注意事项，应体现自教互救、信息报告和先期处置的特点。</w:t>
      </w:r>
    </w:p>
    <w:p>
      <w:pPr>
        <w:keepNext w:val="0"/>
        <w:keepLines w:val="0"/>
        <w:pageBreakBefore w:val="0"/>
        <w:widowControl w:val="0"/>
        <w:kinsoku/>
        <w:wordWrap/>
        <w:overflowPunct/>
        <w:topLinePunct w:val="0"/>
        <w:autoSpaceDE/>
        <w:autoSpaceDN/>
        <w:bidi w:val="0"/>
        <w:adjustRightInd/>
        <w:snapToGrid/>
        <w:spacing w:before="40" w:after="0" w:line="440" w:lineRule="exact"/>
        <w:ind w:firstLine="340"/>
        <w:jc w:val="both"/>
        <w:textAlignment w:val="auto"/>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pPr>
      <w:r>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t>事故风险单</w:t>
      </w:r>
      <w:r>
        <w:rPr>
          <w:rFonts w:hint="eastAsia" w:ascii="宋体" w:hAnsi="宋体" w:eastAsia="宋体" w:cs="宋体"/>
          <w:color w:val="0D0D0D" w:themeColor="text1" w:themeTint="F2"/>
          <w:sz w:val="24"/>
          <w:szCs w:val="24"/>
          <w:lang w:eastAsia="zh-CN"/>
          <w14:textFill>
            <w14:solidFill>
              <w14:schemeClr w14:val="tx1">
                <w14:lumMod w14:val="95000"/>
                <w14:lumOff w14:val="5000"/>
              </w14:schemeClr>
            </w14:solidFill>
          </w14:textFill>
        </w:rPr>
        <w:t>一、</w:t>
      </w:r>
      <w:r>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t>危险性小的生产经营单位</w:t>
      </w:r>
      <w:r>
        <w:rPr>
          <w:rFonts w:hint="eastAsia" w:ascii="宋体" w:hAnsi="宋体" w:eastAsia="宋体" w:cs="宋体"/>
          <w:color w:val="0D0D0D" w:themeColor="text1" w:themeTint="F2"/>
          <w:sz w:val="24"/>
          <w:szCs w:val="24"/>
          <w:lang w:eastAsia="zh-CN"/>
          <w14:textFill>
            <w14:solidFill>
              <w14:schemeClr w14:val="tx1">
                <w14:lumMod w14:val="95000"/>
                <w14:lumOff w14:val="5000"/>
              </w14:schemeClr>
            </w14:solidFill>
          </w14:textFill>
        </w:rPr>
        <w:t>，</w:t>
      </w:r>
      <w:r>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t>可只编制现场处置方案。</w:t>
      </w:r>
    </w:p>
    <w:p>
      <w:pPr>
        <w:spacing w:before="40" w:after="0" w:line="360" w:lineRule="auto"/>
        <w:jc w:val="left"/>
        <w:rPr>
          <w:rFonts w:hint="eastAsia" w:ascii="宋体" w:hAnsi="宋体" w:eastAsia="宋体" w:cs="宋体"/>
          <w:b/>
          <w:bCs/>
          <w:color w:val="0D0D0D" w:themeColor="text1" w:themeTint="F2"/>
          <w:sz w:val="24"/>
          <w:szCs w:val="24"/>
          <w14:textFill>
            <w14:solidFill>
              <w14:schemeClr w14:val="tx1">
                <w14:lumMod w14:val="95000"/>
                <w14:lumOff w14:val="5000"/>
              </w14:schemeClr>
            </w14:solidFill>
          </w14:textFill>
        </w:rPr>
      </w:pPr>
      <w:r>
        <w:rPr>
          <w:rFonts w:hint="eastAsia" w:ascii="宋体" w:hAnsi="宋体" w:eastAsia="宋体" w:cs="宋体"/>
          <w:b/>
          <w:bCs/>
          <w:color w:val="0D0D0D" w:themeColor="text1" w:themeTint="F2"/>
          <w:sz w:val="24"/>
          <w:szCs w:val="24"/>
          <w14:textFill>
            <w14:solidFill>
              <w14:schemeClr w14:val="tx1">
                <w14:lumMod w14:val="95000"/>
                <w14:lumOff w14:val="5000"/>
              </w14:schemeClr>
            </w14:solidFill>
          </w14:textFill>
        </w:rPr>
        <w:t>6综合应急预案内容</w:t>
      </w:r>
    </w:p>
    <w:p>
      <w:pPr>
        <w:spacing w:before="40" w:after="0" w:line="360" w:lineRule="auto"/>
        <w:jc w:val="left"/>
        <w:rPr>
          <w:rFonts w:hint="eastAsia" w:ascii="宋体" w:hAnsi="宋体" w:eastAsia="宋体" w:cs="宋体"/>
          <w:b/>
          <w:bCs/>
          <w:color w:val="0D0D0D" w:themeColor="text1" w:themeTint="F2"/>
          <w:sz w:val="24"/>
          <w:szCs w:val="24"/>
          <w14:textFill>
            <w14:solidFill>
              <w14:schemeClr w14:val="tx1">
                <w14:lumMod w14:val="95000"/>
                <w14:lumOff w14:val="5000"/>
              </w14:schemeClr>
            </w14:solidFill>
          </w14:textFill>
        </w:rPr>
      </w:pPr>
      <w:r>
        <w:rPr>
          <w:rFonts w:hint="eastAsia" w:ascii="宋体" w:hAnsi="宋体" w:eastAsia="宋体" w:cs="宋体"/>
          <w:b/>
          <w:bCs/>
          <w:color w:val="0D0D0D" w:themeColor="text1" w:themeTint="F2"/>
          <w:sz w:val="24"/>
          <w:szCs w:val="24"/>
          <w14:textFill>
            <w14:solidFill>
              <w14:schemeClr w14:val="tx1">
                <w14:lumMod w14:val="95000"/>
                <w14:lumOff w14:val="5000"/>
              </w14:schemeClr>
            </w14:solidFill>
          </w14:textFill>
        </w:rPr>
        <w:t>6.1 总则</w:t>
      </w:r>
    </w:p>
    <w:p>
      <w:pPr>
        <w:spacing w:before="40" w:after="0" w:line="360" w:lineRule="auto"/>
        <w:jc w:val="left"/>
        <w:rPr>
          <w:rFonts w:hint="eastAsia" w:ascii="宋体" w:hAnsi="宋体" w:eastAsia="宋体" w:cs="宋体"/>
          <w:b/>
          <w:bCs/>
          <w:color w:val="0D0D0D" w:themeColor="text1" w:themeTint="F2"/>
          <w:sz w:val="24"/>
          <w:szCs w:val="24"/>
          <w14:textFill>
            <w14:solidFill>
              <w14:schemeClr w14:val="tx1">
                <w14:lumMod w14:val="95000"/>
                <w14:lumOff w14:val="5000"/>
              </w14:schemeClr>
            </w14:solidFill>
          </w14:textFill>
        </w:rPr>
      </w:pPr>
      <w:r>
        <w:rPr>
          <w:rFonts w:hint="eastAsia" w:ascii="宋体" w:hAnsi="宋体" w:eastAsia="宋体" w:cs="宋体"/>
          <w:b/>
          <w:bCs/>
          <w:color w:val="0D0D0D" w:themeColor="text1" w:themeTint="F2"/>
          <w:sz w:val="24"/>
          <w:szCs w:val="24"/>
          <w14:textFill>
            <w14:solidFill>
              <w14:schemeClr w14:val="tx1">
                <w14:lumMod w14:val="95000"/>
                <w14:lumOff w14:val="5000"/>
              </w14:schemeClr>
            </w14:solidFill>
          </w14:textFill>
        </w:rPr>
        <w:t>6.1.1 适用范围</w:t>
      </w:r>
    </w:p>
    <w:p>
      <w:pPr>
        <w:spacing w:before="40" w:after="0" w:line="360" w:lineRule="auto"/>
        <w:ind w:firstLine="340"/>
        <w:jc w:val="left"/>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pPr>
      <w:r>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t>说明应急预案适用的范围。</w:t>
      </w:r>
    </w:p>
    <w:p>
      <w:pPr>
        <w:spacing w:before="40" w:after="0" w:line="360" w:lineRule="auto"/>
        <w:jc w:val="left"/>
        <w:rPr>
          <w:rFonts w:hint="eastAsia" w:ascii="宋体" w:hAnsi="宋体" w:eastAsia="宋体" w:cs="宋体"/>
          <w:b/>
          <w:bCs/>
          <w:color w:val="0D0D0D" w:themeColor="text1" w:themeTint="F2"/>
          <w:sz w:val="24"/>
          <w:szCs w:val="24"/>
          <w14:textFill>
            <w14:solidFill>
              <w14:schemeClr w14:val="tx1">
                <w14:lumMod w14:val="95000"/>
                <w14:lumOff w14:val="5000"/>
              </w14:schemeClr>
            </w14:solidFill>
          </w14:textFill>
        </w:rPr>
      </w:pPr>
      <w:r>
        <w:rPr>
          <w:rFonts w:hint="eastAsia" w:ascii="宋体" w:hAnsi="宋体" w:eastAsia="宋体" w:cs="宋体"/>
          <w:b/>
          <w:bCs/>
          <w:color w:val="0D0D0D" w:themeColor="text1" w:themeTint="F2"/>
          <w:sz w:val="24"/>
          <w:szCs w:val="24"/>
          <w14:textFill>
            <w14:solidFill>
              <w14:schemeClr w14:val="tx1">
                <w14:lumMod w14:val="95000"/>
                <w14:lumOff w14:val="5000"/>
              </w14:schemeClr>
            </w14:solidFill>
          </w14:textFill>
        </w:rPr>
        <w:t>6.1.2响应分级</w:t>
      </w:r>
    </w:p>
    <w:p>
      <w:pPr>
        <w:spacing w:before="40" w:after="0" w:line="360" w:lineRule="auto"/>
        <w:ind w:firstLine="340"/>
        <w:jc w:val="both"/>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pPr>
      <w:r>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t>依据事故危害程度、影响范围和生产经营单位控制事态的能力，对事故应急响应进行分级，明确分级响应的基本原则。响应分级不可照搬事故分级。</w:t>
      </w:r>
    </w:p>
    <w:p>
      <w:pPr>
        <w:spacing w:before="40" w:after="0" w:line="360" w:lineRule="auto"/>
        <w:jc w:val="left"/>
        <w:rPr>
          <w:rFonts w:hint="eastAsia" w:ascii="宋体" w:hAnsi="宋体" w:eastAsia="宋体" w:cs="宋体"/>
          <w:b/>
          <w:bCs/>
          <w:color w:val="0D0D0D" w:themeColor="text1" w:themeTint="F2"/>
          <w:sz w:val="24"/>
          <w:szCs w:val="24"/>
          <w14:textFill>
            <w14:solidFill>
              <w14:schemeClr w14:val="tx1">
                <w14:lumMod w14:val="95000"/>
                <w14:lumOff w14:val="5000"/>
              </w14:schemeClr>
            </w14:solidFill>
          </w14:textFill>
        </w:rPr>
      </w:pPr>
      <w:r>
        <w:rPr>
          <w:rFonts w:hint="eastAsia" w:ascii="宋体" w:hAnsi="宋体" w:eastAsia="宋体" w:cs="宋体"/>
          <w:b/>
          <w:bCs/>
          <w:color w:val="0D0D0D" w:themeColor="text1" w:themeTint="F2"/>
          <w:sz w:val="24"/>
          <w:szCs w:val="24"/>
          <w14:textFill>
            <w14:solidFill>
              <w14:schemeClr w14:val="tx1">
                <w14:lumMod w14:val="95000"/>
                <w14:lumOff w14:val="5000"/>
              </w14:schemeClr>
            </w14:solidFill>
          </w14:textFill>
        </w:rPr>
        <w:t>6.2</w:t>
      </w:r>
      <w:r>
        <w:rPr>
          <w:rFonts w:hint="eastAsia" w:ascii="宋体" w:hAnsi="宋体" w:eastAsia="宋体" w:cs="宋体"/>
          <w:b/>
          <w:bCs/>
          <w:color w:val="0D0D0D" w:themeColor="text1" w:themeTint="F2"/>
          <w:sz w:val="24"/>
          <w:szCs w:val="24"/>
          <w:lang w:val="en-US" w:eastAsia="zh-CN"/>
          <w14:textFill>
            <w14:solidFill>
              <w14:schemeClr w14:val="tx1">
                <w14:lumMod w14:val="95000"/>
                <w14:lumOff w14:val="5000"/>
              </w14:schemeClr>
            </w14:solidFill>
          </w14:textFill>
        </w:rPr>
        <w:t xml:space="preserve"> </w:t>
      </w:r>
      <w:r>
        <w:rPr>
          <w:rFonts w:hint="eastAsia" w:ascii="宋体" w:hAnsi="宋体" w:eastAsia="宋体" w:cs="宋体"/>
          <w:b/>
          <w:bCs/>
          <w:color w:val="0D0D0D" w:themeColor="text1" w:themeTint="F2"/>
          <w:sz w:val="24"/>
          <w:szCs w:val="24"/>
          <w14:textFill>
            <w14:solidFill>
              <w14:schemeClr w14:val="tx1">
                <w14:lumMod w14:val="95000"/>
                <w14:lumOff w14:val="5000"/>
              </w14:schemeClr>
            </w14:solidFill>
          </w14:textFill>
        </w:rPr>
        <w:t>应急组织机构及职责</w:t>
      </w:r>
    </w:p>
    <w:p>
      <w:pPr>
        <w:spacing w:before="40" w:after="0" w:line="360" w:lineRule="auto"/>
        <w:ind w:firstLine="480" w:firstLineChars="200"/>
        <w:jc w:val="both"/>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pPr>
      <w:r>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t>明确应急组织形式(可用图示)及构成单位(部门)的应急处置职责。应急组织机构可设置相应的工作小组，各小组具体构成、职责分工及行动任务以工作方案的形式作为附件。</w:t>
      </w:r>
    </w:p>
    <w:p>
      <w:pPr>
        <w:spacing w:before="40" w:after="0" w:line="360" w:lineRule="auto"/>
        <w:jc w:val="left"/>
        <w:rPr>
          <w:rFonts w:hint="eastAsia" w:ascii="宋体" w:hAnsi="宋体" w:eastAsia="宋体" w:cs="宋体"/>
          <w:b/>
          <w:bCs/>
          <w:color w:val="0D0D0D" w:themeColor="text1" w:themeTint="F2"/>
          <w:sz w:val="24"/>
          <w:szCs w:val="24"/>
          <w14:textFill>
            <w14:solidFill>
              <w14:schemeClr w14:val="tx1">
                <w14:lumMod w14:val="95000"/>
                <w14:lumOff w14:val="5000"/>
              </w14:schemeClr>
            </w14:solidFill>
          </w14:textFill>
        </w:rPr>
      </w:pPr>
      <w:r>
        <w:rPr>
          <w:rFonts w:hint="eastAsia" w:ascii="宋体" w:hAnsi="宋体" w:eastAsia="宋体" w:cs="宋体"/>
          <w:b/>
          <w:bCs/>
          <w:color w:val="0D0D0D" w:themeColor="text1" w:themeTint="F2"/>
          <w:sz w:val="24"/>
          <w:szCs w:val="24"/>
          <w14:textFill>
            <w14:solidFill>
              <w14:schemeClr w14:val="tx1">
                <w14:lumMod w14:val="95000"/>
                <w14:lumOff w14:val="5000"/>
              </w14:schemeClr>
            </w14:solidFill>
          </w14:textFill>
        </w:rPr>
        <w:t>6.3应急响应</w:t>
      </w:r>
    </w:p>
    <w:p>
      <w:pPr>
        <w:spacing w:before="40" w:after="0" w:line="360" w:lineRule="auto"/>
        <w:jc w:val="left"/>
        <w:rPr>
          <w:rFonts w:hint="eastAsia" w:ascii="宋体" w:hAnsi="宋体" w:eastAsia="宋体" w:cs="宋体"/>
          <w:b/>
          <w:bCs/>
          <w:color w:val="0D0D0D" w:themeColor="text1" w:themeTint="F2"/>
          <w:sz w:val="24"/>
          <w:szCs w:val="24"/>
          <w14:textFill>
            <w14:solidFill>
              <w14:schemeClr w14:val="tx1">
                <w14:lumMod w14:val="95000"/>
                <w14:lumOff w14:val="5000"/>
              </w14:schemeClr>
            </w14:solidFill>
          </w14:textFill>
        </w:rPr>
      </w:pPr>
      <w:r>
        <w:rPr>
          <w:rFonts w:hint="eastAsia" w:ascii="宋体" w:hAnsi="宋体" w:eastAsia="宋体" w:cs="宋体"/>
          <w:b/>
          <w:bCs/>
          <w:color w:val="0D0D0D" w:themeColor="text1" w:themeTint="F2"/>
          <w:sz w:val="24"/>
          <w:szCs w:val="24"/>
          <w14:textFill>
            <w14:solidFill>
              <w14:schemeClr w14:val="tx1">
                <w14:lumMod w14:val="95000"/>
                <w14:lumOff w14:val="5000"/>
              </w14:schemeClr>
            </w14:solidFill>
          </w14:textFill>
        </w:rPr>
        <w:t>6.3.1 信息报告</w:t>
      </w:r>
    </w:p>
    <w:p>
      <w:pPr>
        <w:spacing w:before="40" w:after="0" w:line="360" w:lineRule="auto"/>
        <w:jc w:val="left"/>
        <w:rPr>
          <w:rFonts w:hint="eastAsia" w:ascii="宋体" w:hAnsi="宋体" w:eastAsia="宋体" w:cs="宋体"/>
          <w:b/>
          <w:bCs/>
          <w:color w:val="0D0D0D" w:themeColor="text1" w:themeTint="F2"/>
          <w:sz w:val="24"/>
          <w:szCs w:val="24"/>
          <w14:textFill>
            <w14:solidFill>
              <w14:schemeClr w14:val="tx1">
                <w14:lumMod w14:val="95000"/>
                <w14:lumOff w14:val="5000"/>
              </w14:schemeClr>
            </w14:solidFill>
          </w14:textFill>
        </w:rPr>
      </w:pPr>
      <w:r>
        <w:rPr>
          <w:rFonts w:hint="eastAsia" w:ascii="宋体" w:hAnsi="宋体" w:eastAsia="宋体" w:cs="宋体"/>
          <w:b/>
          <w:bCs/>
          <w:color w:val="0D0D0D" w:themeColor="text1" w:themeTint="F2"/>
          <w:sz w:val="24"/>
          <w:szCs w:val="24"/>
          <w14:textFill>
            <w14:solidFill>
              <w14:schemeClr w14:val="tx1">
                <w14:lumMod w14:val="95000"/>
                <w14:lumOff w14:val="5000"/>
              </w14:schemeClr>
            </w14:solidFill>
          </w14:textFill>
        </w:rPr>
        <w:t>6.3.1.1 信息接报</w:t>
      </w:r>
    </w:p>
    <w:p>
      <w:pPr>
        <w:spacing w:before="40" w:after="0" w:line="360" w:lineRule="auto"/>
        <w:ind w:firstLine="480" w:firstLineChars="200"/>
        <w:jc w:val="both"/>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pPr>
      <w:r>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t>明确应急值守电话、事故信息接收、内部通报程序、方式和责任人，向上级主管部门、上级单位报告事故信息的流程、内容、时限和责任人，以及向本单位以外的有关部或单位通报事故信息的方法、程序和责任人。</w:t>
      </w:r>
    </w:p>
    <w:p>
      <w:pPr>
        <w:spacing w:before="40" w:after="0" w:line="360" w:lineRule="auto"/>
        <w:jc w:val="left"/>
        <w:rPr>
          <w:rFonts w:hint="eastAsia" w:ascii="宋体" w:hAnsi="宋体" w:eastAsia="宋体" w:cs="宋体"/>
          <w:b/>
          <w:bCs/>
          <w:color w:val="0D0D0D" w:themeColor="text1" w:themeTint="F2"/>
          <w:sz w:val="24"/>
          <w:szCs w:val="24"/>
          <w14:textFill>
            <w14:solidFill>
              <w14:schemeClr w14:val="tx1">
                <w14:lumMod w14:val="95000"/>
                <w14:lumOff w14:val="5000"/>
              </w14:schemeClr>
            </w14:solidFill>
          </w14:textFill>
        </w:rPr>
      </w:pPr>
      <w:r>
        <w:rPr>
          <w:rFonts w:hint="eastAsia" w:ascii="宋体" w:hAnsi="宋体" w:eastAsia="宋体" w:cs="宋体"/>
          <w:b/>
          <w:bCs/>
          <w:color w:val="0D0D0D" w:themeColor="text1" w:themeTint="F2"/>
          <w:sz w:val="24"/>
          <w:szCs w:val="24"/>
          <w14:textFill>
            <w14:solidFill>
              <w14:schemeClr w14:val="tx1">
                <w14:lumMod w14:val="95000"/>
                <w14:lumOff w14:val="5000"/>
              </w14:schemeClr>
            </w14:solidFill>
          </w14:textFill>
        </w:rPr>
        <w:t>6.3.1.2信息处置与研判</w:t>
      </w:r>
    </w:p>
    <w:p>
      <w:pPr>
        <w:spacing w:before="40" w:after="0" w:line="360" w:lineRule="auto"/>
        <w:jc w:val="both"/>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pPr>
      <w:r>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t>6.3.1.2.1明确响应启动的程序和方式。根据事故性质、严重程度、影响范围和可控性，结合响应分级明确的条件，可由应急领导小组作出响应启动的决策并宣布，或者依据事故信息是否达到响应启动的条件自动启动。</w:t>
      </w:r>
    </w:p>
    <w:p>
      <w:pPr>
        <w:spacing w:before="40" w:after="0" w:line="360" w:lineRule="auto"/>
        <w:jc w:val="both"/>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pPr>
      <w:r>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t>6.3.1.2.2若未达到响应启动条件，应急领导小组可作出预警启动的决策，做好响应准备，实时跟踪事态发展。</w:t>
      </w:r>
    </w:p>
    <w:p>
      <w:pPr>
        <w:spacing w:before="40" w:after="0" w:line="360" w:lineRule="auto"/>
        <w:jc w:val="both"/>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pPr>
      <w:r>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t>6.3.1.2.3 响应启动后，应注意跟踪事态发展，科学分析处置需求，及时调整响应级别，避免响应不</w:t>
      </w:r>
      <w:r>
        <w:rPr>
          <w:rFonts w:hint="eastAsia" w:ascii="宋体" w:hAnsi="宋体" w:eastAsia="宋体" w:cs="宋体"/>
          <w:color w:val="0D0D0D" w:themeColor="text1" w:themeTint="F2"/>
          <w:sz w:val="24"/>
          <w:szCs w:val="24"/>
          <w:lang w:eastAsia="zh-CN"/>
          <w14:textFill>
            <w14:solidFill>
              <w14:schemeClr w14:val="tx1">
                <w14:lumMod w14:val="95000"/>
                <w14:lumOff w14:val="5000"/>
              </w14:schemeClr>
            </w14:solidFill>
          </w14:textFill>
        </w:rPr>
        <w:t>足</w:t>
      </w:r>
      <w:r>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t>或过度响应。</w:t>
      </w:r>
    </w:p>
    <w:p>
      <w:pPr>
        <w:spacing w:before="40" w:after="0" w:line="360" w:lineRule="auto"/>
        <w:jc w:val="left"/>
        <w:rPr>
          <w:rFonts w:hint="eastAsia" w:ascii="宋体" w:hAnsi="宋体" w:eastAsia="宋体" w:cs="宋体"/>
          <w:b/>
          <w:bCs/>
          <w:color w:val="0D0D0D" w:themeColor="text1" w:themeTint="F2"/>
          <w:sz w:val="24"/>
          <w:szCs w:val="24"/>
          <w14:textFill>
            <w14:solidFill>
              <w14:schemeClr w14:val="tx1">
                <w14:lumMod w14:val="95000"/>
                <w14:lumOff w14:val="5000"/>
              </w14:schemeClr>
            </w14:solidFill>
          </w14:textFill>
        </w:rPr>
      </w:pPr>
      <w:r>
        <w:rPr>
          <w:rFonts w:hint="eastAsia" w:ascii="宋体" w:hAnsi="宋体" w:eastAsia="宋体" w:cs="宋体"/>
          <w:b/>
          <w:bCs/>
          <w:color w:val="0D0D0D" w:themeColor="text1" w:themeTint="F2"/>
          <w:sz w:val="24"/>
          <w:szCs w:val="24"/>
          <w14:textFill>
            <w14:solidFill>
              <w14:schemeClr w14:val="tx1">
                <w14:lumMod w14:val="95000"/>
                <w14:lumOff w14:val="5000"/>
              </w14:schemeClr>
            </w14:solidFill>
          </w14:textFill>
        </w:rPr>
        <w:t>6.3.2 预警</w:t>
      </w:r>
    </w:p>
    <w:p>
      <w:pPr>
        <w:spacing w:before="40" w:after="0" w:line="360" w:lineRule="auto"/>
        <w:jc w:val="left"/>
        <w:rPr>
          <w:rFonts w:hint="eastAsia" w:ascii="宋体" w:hAnsi="宋体" w:eastAsia="宋体" w:cs="宋体"/>
          <w:b/>
          <w:bCs/>
          <w:color w:val="0D0D0D" w:themeColor="text1" w:themeTint="F2"/>
          <w:sz w:val="24"/>
          <w:szCs w:val="24"/>
          <w14:textFill>
            <w14:solidFill>
              <w14:schemeClr w14:val="tx1">
                <w14:lumMod w14:val="95000"/>
                <w14:lumOff w14:val="5000"/>
              </w14:schemeClr>
            </w14:solidFill>
          </w14:textFill>
        </w:rPr>
      </w:pPr>
      <w:r>
        <w:rPr>
          <w:rFonts w:hint="eastAsia" w:ascii="宋体" w:hAnsi="宋体" w:eastAsia="宋体" w:cs="宋体"/>
          <w:b/>
          <w:bCs/>
          <w:color w:val="0D0D0D" w:themeColor="text1" w:themeTint="F2"/>
          <w:sz w:val="24"/>
          <w:szCs w:val="24"/>
          <w14:textFill>
            <w14:solidFill>
              <w14:schemeClr w14:val="tx1">
                <w14:lumMod w14:val="95000"/>
                <w14:lumOff w14:val="5000"/>
              </w14:schemeClr>
            </w14:solidFill>
          </w14:textFill>
        </w:rPr>
        <w:t>6.3.2.1预警启动</w:t>
      </w:r>
    </w:p>
    <w:p>
      <w:pPr>
        <w:spacing w:before="40" w:after="0" w:line="360" w:lineRule="auto"/>
        <w:ind w:firstLine="480" w:firstLineChars="200"/>
        <w:jc w:val="left"/>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pPr>
      <w:r>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t>明确预警信息发布渠道、方式和内容。</w:t>
      </w:r>
    </w:p>
    <w:p>
      <w:pPr>
        <w:spacing w:before="40" w:after="0" w:line="36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6.3.2.2响应准备</w:t>
      </w:r>
    </w:p>
    <w:p>
      <w:pPr>
        <w:spacing w:before="40" w:after="0" w:line="360" w:lineRule="auto"/>
        <w:ind w:firstLine="3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明确作出预警启动后应开展的响应准备工作，包括队伍、物资、装备、后勤及通信。</w:t>
      </w:r>
    </w:p>
    <w:p>
      <w:pPr>
        <w:spacing w:before="40" w:after="0" w:line="36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6.3.2.3预警解除</w:t>
      </w:r>
    </w:p>
    <w:p>
      <w:pPr>
        <w:spacing w:before="40" w:after="0" w:line="360" w:lineRule="auto"/>
        <w:ind w:firstLine="38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明确预警解除的基本条件、要求及责任人。</w:t>
      </w:r>
    </w:p>
    <w:p>
      <w:pPr>
        <w:spacing w:before="40" w:after="0" w:line="36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6.3.3响应启动</w:t>
      </w:r>
    </w:p>
    <w:p>
      <w:pPr>
        <w:spacing w:before="40" w:after="0" w:line="360" w:lineRule="auto"/>
        <w:ind w:firstLine="3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确定响应级别，明确响应启动后的程序性工作，包括应急会议召开、信息上报、资源协调、信息公开、后勤及财力保障工作。</w:t>
      </w:r>
    </w:p>
    <w:p>
      <w:pPr>
        <w:spacing w:before="40" w:after="0" w:line="36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6.3.4应急处置</w:t>
      </w:r>
    </w:p>
    <w:p>
      <w:pPr>
        <w:spacing w:before="40" w:after="0" w:line="360" w:lineRule="auto"/>
        <w:ind w:firstLine="3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明确事故现场的警成疏散、人员搜救、医疗救治、现场监测、技术支持、工程抢险及环境保护方面的应急处置措施，并明确人员防护的要求。</w:t>
      </w:r>
    </w:p>
    <w:p>
      <w:pPr>
        <w:spacing w:before="40" w:after="0" w:line="36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6.3.5</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应急支援</w:t>
      </w:r>
    </w:p>
    <w:p>
      <w:pPr>
        <w:spacing w:before="40" w:after="0" w:line="360" w:lineRule="auto"/>
        <w:ind w:firstLine="3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明确当事态无法控制情况下，向外部(救援)力量请求支援的程序及要求、联动程序及要求，以及 外部(救援)力量到达后的指挥关系。</w:t>
      </w:r>
    </w:p>
    <w:p>
      <w:pPr>
        <w:spacing w:before="40" w:after="0" w:line="36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6.3.6</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响应终止</w:t>
      </w:r>
    </w:p>
    <w:p>
      <w:pPr>
        <w:spacing w:before="40" w:after="0" w:line="360" w:lineRule="auto"/>
        <w:ind w:firstLine="38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明确响应终止的基本条件、要求和责任人。</w:t>
      </w:r>
    </w:p>
    <w:p>
      <w:pPr>
        <w:spacing w:before="40" w:after="0" w:line="36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6.4</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后期处置</w:t>
      </w:r>
    </w:p>
    <w:p>
      <w:pPr>
        <w:spacing w:before="40" w:after="0" w:line="360" w:lineRule="auto"/>
        <w:ind w:firstLine="3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明确污染物处理、生产秩序恢复、人员安置方面的内容。</w:t>
      </w:r>
    </w:p>
    <w:p>
      <w:pPr>
        <w:spacing w:before="40" w:after="0" w:line="36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6.5</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应急保障</w:t>
      </w:r>
    </w:p>
    <w:p>
      <w:pPr>
        <w:spacing w:before="40" w:after="0" w:line="36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6.5.1</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通信与信息保障</w:t>
      </w:r>
    </w:p>
    <w:p>
      <w:pPr>
        <w:spacing w:before="40" w:after="0" w:line="36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明确应急保障的相关单位及人员通信联系方式和方法，以及备用方案和保障责任人。</w:t>
      </w:r>
    </w:p>
    <w:p>
      <w:pPr>
        <w:spacing w:before="40" w:after="0" w:line="36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6.5.2应急队伍保障</w:t>
      </w:r>
    </w:p>
    <w:p>
      <w:pPr>
        <w:spacing w:before="40" w:after="0" w:line="36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明确相关的应急人力资源，包括专家、专兼职应急救援队伍及协议应急救援队伍。</w:t>
      </w:r>
    </w:p>
    <w:p>
      <w:pPr>
        <w:spacing w:before="40" w:after="0" w:line="36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6.5.3物资装备保障</w:t>
      </w:r>
    </w:p>
    <w:p>
      <w:pPr>
        <w:spacing w:before="40" w:after="0" w:line="360" w:lineRule="auto"/>
        <w:ind w:firstLine="3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明确本单位的应急物资和装备的类型、数量、性能、存放位置、运输及使用条件、更新及补充时限、管理责任人及其联系方式，并建立台账。</w:t>
      </w:r>
    </w:p>
    <w:p>
      <w:pPr>
        <w:spacing w:before="40" w:after="0" w:line="36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6.5.4其他保障</w:t>
      </w:r>
    </w:p>
    <w:p>
      <w:pPr>
        <w:spacing w:before="40" w:after="0" w:line="36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根据应急工作需求而确定的其他相关保障措施(如:能源保障、经费保障、交通运输保障、治安保障、技术保障、医疗保障及后勤保障)。</w:t>
      </w:r>
    </w:p>
    <w:p>
      <w:pPr>
        <w:spacing w:before="40" w:after="0" w:line="360" w:lineRule="auto"/>
        <w:ind w:firstLine="3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注: 6.5.1-6.5.4的相关内容，尽可能在应急预案的附件中体现。</w:t>
      </w:r>
    </w:p>
    <w:p>
      <w:pPr>
        <w:spacing w:before="40" w:after="0" w:line="360" w:lineRule="auto"/>
        <w:ind w:firstLine="38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8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8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8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8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8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8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8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80"/>
        <w:jc w:val="both"/>
        <w:rPr>
          <w:rFonts w:hint="eastAsia" w:ascii="宋体" w:hAnsi="宋体" w:eastAsia="宋体" w:cs="宋体"/>
          <w:color w:val="000000" w:themeColor="text1"/>
          <w:sz w:val="24"/>
          <w:szCs w:val="24"/>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before="40" w:after="0" w:line="440" w:lineRule="exact"/>
        <w:jc w:val="left"/>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7</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专项应急预案内容</w:t>
      </w:r>
    </w:p>
    <w:p>
      <w:pPr>
        <w:keepNext w:val="0"/>
        <w:keepLines w:val="0"/>
        <w:pageBreakBefore w:val="0"/>
        <w:widowControl w:val="0"/>
        <w:kinsoku/>
        <w:wordWrap/>
        <w:overflowPunct/>
        <w:topLinePunct w:val="0"/>
        <w:autoSpaceDE/>
        <w:autoSpaceDN/>
        <w:bidi w:val="0"/>
        <w:adjustRightInd/>
        <w:snapToGrid/>
        <w:spacing w:before="40" w:after="0" w:line="440" w:lineRule="exact"/>
        <w:jc w:val="left"/>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7.1</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适用范围</w:t>
      </w:r>
    </w:p>
    <w:p>
      <w:pPr>
        <w:keepNext w:val="0"/>
        <w:keepLines w:val="0"/>
        <w:pageBreakBefore w:val="0"/>
        <w:widowControl w:val="0"/>
        <w:kinsoku/>
        <w:wordWrap/>
        <w:overflowPunct/>
        <w:topLinePunct w:val="0"/>
        <w:autoSpaceDE/>
        <w:autoSpaceDN/>
        <w:bidi w:val="0"/>
        <w:adjustRightInd/>
        <w:snapToGrid/>
        <w:spacing w:before="40" w:after="0" w:line="440" w:lineRule="exact"/>
        <w:ind w:firstLine="480" w:firstLineChars="200"/>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说明专项应急预案适用的范围，以及与综合应急预案的关系。</w:t>
      </w:r>
    </w:p>
    <w:p>
      <w:pPr>
        <w:keepNext w:val="0"/>
        <w:keepLines w:val="0"/>
        <w:pageBreakBefore w:val="0"/>
        <w:widowControl w:val="0"/>
        <w:kinsoku/>
        <w:wordWrap/>
        <w:overflowPunct/>
        <w:topLinePunct w:val="0"/>
        <w:autoSpaceDE/>
        <w:autoSpaceDN/>
        <w:bidi w:val="0"/>
        <w:adjustRightInd/>
        <w:snapToGrid/>
        <w:spacing w:before="40" w:after="0" w:line="440" w:lineRule="exact"/>
        <w:jc w:val="left"/>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7.2</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应急组织机构及职责</w:t>
      </w:r>
    </w:p>
    <w:p>
      <w:pPr>
        <w:keepNext w:val="0"/>
        <w:keepLines w:val="0"/>
        <w:pageBreakBefore w:val="0"/>
        <w:widowControl w:val="0"/>
        <w:kinsoku/>
        <w:wordWrap/>
        <w:overflowPunct/>
        <w:topLinePunct w:val="0"/>
        <w:autoSpaceDE/>
        <w:autoSpaceDN/>
        <w:bidi w:val="0"/>
        <w:adjustRightInd/>
        <w:snapToGrid/>
        <w:spacing w:before="40" w:after="0" w:line="440" w:lineRule="exact"/>
        <w:ind w:firstLine="480" w:firstLineChars="200"/>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明确应急组织形式（可用图示）及构成单位（部门）的应急处置职责。应急组织机构以及各成员单位或人员的具体职责。应急组织机构可以设置相应的应急工作小组，各小组具体构成、职责分工及行动任务建议以工作方案的形式作为附件。</w:t>
      </w:r>
    </w:p>
    <w:p>
      <w:pPr>
        <w:keepNext w:val="0"/>
        <w:keepLines w:val="0"/>
        <w:pageBreakBefore w:val="0"/>
        <w:widowControl w:val="0"/>
        <w:kinsoku/>
        <w:wordWrap/>
        <w:overflowPunct/>
        <w:topLinePunct w:val="0"/>
        <w:autoSpaceDE/>
        <w:autoSpaceDN/>
        <w:bidi w:val="0"/>
        <w:adjustRightInd/>
        <w:snapToGrid/>
        <w:spacing w:before="40" w:after="0" w:line="440" w:lineRule="exact"/>
        <w:jc w:val="left"/>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7.3</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响应启动</w:t>
      </w:r>
    </w:p>
    <w:p>
      <w:pPr>
        <w:keepNext w:val="0"/>
        <w:keepLines w:val="0"/>
        <w:pageBreakBefore w:val="0"/>
        <w:widowControl w:val="0"/>
        <w:kinsoku/>
        <w:wordWrap/>
        <w:overflowPunct/>
        <w:topLinePunct w:val="0"/>
        <w:autoSpaceDE/>
        <w:autoSpaceDN/>
        <w:bidi w:val="0"/>
        <w:adjustRightInd/>
        <w:snapToGrid/>
        <w:spacing w:before="40" w:after="0" w:line="440" w:lineRule="exact"/>
        <w:ind w:firstLine="320"/>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明确响应启动后的程序性工作，包括应急会议召开、信息上报、资源协调、信息公开、后勤及财力保障工作。</w:t>
      </w:r>
    </w:p>
    <w:p>
      <w:pPr>
        <w:keepNext w:val="0"/>
        <w:keepLines w:val="0"/>
        <w:pageBreakBefore w:val="0"/>
        <w:widowControl w:val="0"/>
        <w:kinsoku/>
        <w:wordWrap/>
        <w:overflowPunct/>
        <w:topLinePunct w:val="0"/>
        <w:autoSpaceDE/>
        <w:autoSpaceDN/>
        <w:bidi w:val="0"/>
        <w:adjustRightInd/>
        <w:snapToGrid/>
        <w:spacing w:before="40" w:after="0" w:line="440" w:lineRule="exact"/>
        <w:jc w:val="left"/>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7.4</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处置措施</w:t>
      </w:r>
    </w:p>
    <w:p>
      <w:pPr>
        <w:keepNext w:val="0"/>
        <w:keepLines w:val="0"/>
        <w:pageBreakBefore w:val="0"/>
        <w:widowControl w:val="0"/>
        <w:kinsoku/>
        <w:wordWrap/>
        <w:overflowPunct/>
        <w:topLinePunct w:val="0"/>
        <w:autoSpaceDE/>
        <w:autoSpaceDN/>
        <w:bidi w:val="0"/>
        <w:adjustRightInd/>
        <w:snapToGrid/>
        <w:spacing w:before="40" w:after="0" w:line="440" w:lineRule="exact"/>
        <w:ind w:firstLine="480" w:firstLineChars="200"/>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针对可能发生的事故风险、危害程度和影响范围，明确应急处置指导原则，制定相应的应急处置措施。</w:t>
      </w:r>
    </w:p>
    <w:p>
      <w:pPr>
        <w:keepNext w:val="0"/>
        <w:keepLines w:val="0"/>
        <w:pageBreakBefore w:val="0"/>
        <w:widowControl w:val="0"/>
        <w:kinsoku/>
        <w:wordWrap/>
        <w:overflowPunct/>
        <w:topLinePunct w:val="0"/>
        <w:autoSpaceDE/>
        <w:autoSpaceDN/>
        <w:bidi w:val="0"/>
        <w:adjustRightInd/>
        <w:snapToGrid/>
        <w:spacing w:before="40" w:after="0" w:line="440" w:lineRule="exact"/>
        <w:jc w:val="left"/>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7.5</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应急保障</w:t>
      </w:r>
    </w:p>
    <w:p>
      <w:pPr>
        <w:keepNext w:val="0"/>
        <w:keepLines w:val="0"/>
        <w:pageBreakBefore w:val="0"/>
        <w:widowControl w:val="0"/>
        <w:kinsoku/>
        <w:wordWrap/>
        <w:overflowPunct/>
        <w:topLinePunct w:val="0"/>
        <w:autoSpaceDE/>
        <w:autoSpaceDN/>
        <w:bidi w:val="0"/>
        <w:adjustRightInd/>
        <w:snapToGrid/>
        <w:spacing w:before="40" w:after="0" w:line="440" w:lineRule="exact"/>
        <w:ind w:firstLine="320"/>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根据应急工作需求明确保障的内容。</w:t>
      </w:r>
    </w:p>
    <w:p>
      <w:pPr>
        <w:keepNext w:val="0"/>
        <w:keepLines w:val="0"/>
        <w:pageBreakBefore w:val="0"/>
        <w:widowControl w:val="0"/>
        <w:kinsoku/>
        <w:wordWrap/>
        <w:overflowPunct/>
        <w:topLinePunct w:val="0"/>
        <w:autoSpaceDE/>
        <w:autoSpaceDN/>
        <w:bidi w:val="0"/>
        <w:adjustRightInd/>
        <w:snapToGrid/>
        <w:spacing w:before="40" w:after="0" w:line="440" w:lineRule="exact"/>
        <w:ind w:firstLine="320"/>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注</w:t>
      </w:r>
      <w:r>
        <w:rPr>
          <w:rFonts w:hint="eastAsia" w:ascii="宋体" w:hAnsi="宋体" w:eastAsia="宋体" w:cs="宋体"/>
          <w:color w:val="000000" w:themeColor="text1"/>
          <w:sz w:val="24"/>
          <w:szCs w:val="24"/>
          <w:lang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专项应急预案包括但不限于上述7.1</w:t>
      </w:r>
      <w:r>
        <w:rPr>
          <w:rFonts w:hint="eastAsia" w:ascii="宋体" w:hAnsi="宋体" w:eastAsia="宋体" w:cs="宋体"/>
          <w:color w:val="000000" w:themeColor="text1"/>
          <w:sz w:val="24"/>
          <w:szCs w:val="24"/>
          <w:lang w:val="en-US" w:eastAsia="zh-CN"/>
          <w14:textFill>
            <w14:solidFill>
              <w14:schemeClr w14:val="tx1"/>
            </w14:solidFill>
          </w14:textFill>
        </w:rPr>
        <w:t>-</w:t>
      </w:r>
      <w:r>
        <w:rPr>
          <w:rFonts w:hint="eastAsia" w:ascii="宋体" w:hAnsi="宋体" w:eastAsia="宋体" w:cs="宋体"/>
          <w:color w:val="000000" w:themeColor="text1"/>
          <w:sz w:val="24"/>
          <w:szCs w:val="24"/>
          <w14:textFill>
            <w14:solidFill>
              <w14:schemeClr w14:val="tx1"/>
            </w14:solidFill>
          </w14:textFill>
        </w:rPr>
        <w:t>7.4内容。</w:t>
      </w:r>
    </w:p>
    <w:p>
      <w:pPr>
        <w:keepNext w:val="0"/>
        <w:keepLines w:val="0"/>
        <w:pageBreakBefore w:val="0"/>
        <w:widowControl w:val="0"/>
        <w:kinsoku/>
        <w:wordWrap/>
        <w:overflowPunct/>
        <w:topLinePunct w:val="0"/>
        <w:autoSpaceDE/>
        <w:autoSpaceDN/>
        <w:bidi w:val="0"/>
        <w:adjustRightInd/>
        <w:snapToGrid/>
        <w:spacing w:before="40" w:after="0" w:line="440" w:lineRule="exact"/>
        <w:jc w:val="left"/>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8</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现场处置方案主要内容</w:t>
      </w:r>
    </w:p>
    <w:p>
      <w:pPr>
        <w:keepNext w:val="0"/>
        <w:keepLines w:val="0"/>
        <w:pageBreakBefore w:val="0"/>
        <w:widowControl w:val="0"/>
        <w:kinsoku/>
        <w:wordWrap/>
        <w:overflowPunct/>
        <w:topLinePunct w:val="0"/>
        <w:autoSpaceDE/>
        <w:autoSpaceDN/>
        <w:bidi w:val="0"/>
        <w:adjustRightInd/>
        <w:snapToGrid/>
        <w:spacing w:before="40" w:after="0" w:line="440" w:lineRule="exact"/>
        <w:jc w:val="left"/>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8.1</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事故风险描述</w:t>
      </w:r>
    </w:p>
    <w:p>
      <w:pPr>
        <w:keepNext w:val="0"/>
        <w:keepLines w:val="0"/>
        <w:pageBreakBefore w:val="0"/>
        <w:widowControl w:val="0"/>
        <w:kinsoku/>
        <w:wordWrap/>
        <w:overflowPunct/>
        <w:topLinePunct w:val="0"/>
        <w:autoSpaceDE/>
        <w:autoSpaceDN/>
        <w:bidi w:val="0"/>
        <w:adjustRightInd/>
        <w:snapToGrid/>
        <w:spacing w:before="40" w:after="0" w:line="440" w:lineRule="exact"/>
        <w:ind w:firstLine="320"/>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简述事故风险评估的结果（可用列表的形式附在附件中）。</w:t>
      </w:r>
    </w:p>
    <w:p>
      <w:pPr>
        <w:keepNext w:val="0"/>
        <w:keepLines w:val="0"/>
        <w:pageBreakBefore w:val="0"/>
        <w:widowControl w:val="0"/>
        <w:kinsoku/>
        <w:wordWrap/>
        <w:overflowPunct/>
        <w:topLinePunct w:val="0"/>
        <w:autoSpaceDE/>
        <w:autoSpaceDN/>
        <w:bidi w:val="0"/>
        <w:adjustRightInd/>
        <w:snapToGrid/>
        <w:spacing w:before="40" w:after="0" w:line="440" w:lineRule="exact"/>
        <w:jc w:val="left"/>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8.2应急工作职责</w:t>
      </w:r>
    </w:p>
    <w:p>
      <w:pPr>
        <w:keepNext w:val="0"/>
        <w:keepLines w:val="0"/>
        <w:pageBreakBefore w:val="0"/>
        <w:widowControl w:val="0"/>
        <w:kinsoku/>
        <w:wordWrap/>
        <w:overflowPunct/>
        <w:topLinePunct w:val="0"/>
        <w:autoSpaceDE/>
        <w:autoSpaceDN/>
        <w:bidi w:val="0"/>
        <w:adjustRightInd/>
        <w:snapToGrid/>
        <w:spacing w:before="40" w:after="0" w:line="440" w:lineRule="exact"/>
        <w:ind w:firstLine="320"/>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明确应急组织分工和职责。</w:t>
      </w:r>
    </w:p>
    <w:p>
      <w:pPr>
        <w:keepNext w:val="0"/>
        <w:keepLines w:val="0"/>
        <w:pageBreakBefore w:val="0"/>
        <w:widowControl w:val="0"/>
        <w:kinsoku/>
        <w:wordWrap/>
        <w:overflowPunct/>
        <w:topLinePunct w:val="0"/>
        <w:autoSpaceDE/>
        <w:autoSpaceDN/>
        <w:bidi w:val="0"/>
        <w:adjustRightInd/>
        <w:snapToGrid/>
        <w:spacing w:before="40" w:after="0" w:line="440" w:lineRule="exact"/>
        <w:jc w:val="left"/>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8.3应急处置</w:t>
      </w:r>
    </w:p>
    <w:p>
      <w:pPr>
        <w:keepNext w:val="0"/>
        <w:keepLines w:val="0"/>
        <w:pageBreakBefore w:val="0"/>
        <w:widowControl w:val="0"/>
        <w:kinsoku/>
        <w:wordWrap/>
        <w:overflowPunct/>
        <w:topLinePunct w:val="0"/>
        <w:autoSpaceDE/>
        <w:autoSpaceDN/>
        <w:bidi w:val="0"/>
        <w:adjustRightInd/>
        <w:snapToGrid/>
        <w:spacing w:before="40" w:after="0" w:line="440" w:lineRule="exact"/>
        <w:ind w:firstLine="320"/>
        <w:jc w:val="left"/>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主要包括以下内容:</w:t>
      </w:r>
    </w:p>
    <w:p>
      <w:pPr>
        <w:keepNext w:val="0"/>
        <w:keepLines w:val="0"/>
        <w:pageBreakBefore w:val="0"/>
        <w:widowControl w:val="0"/>
        <w:kinsoku/>
        <w:wordWrap/>
        <w:overflowPunct/>
        <w:topLinePunct w:val="0"/>
        <w:autoSpaceDE/>
        <w:autoSpaceDN/>
        <w:bidi w:val="0"/>
        <w:adjustRightInd/>
        <w:snapToGrid/>
        <w:spacing w:before="40" w:after="0" w:line="440" w:lineRule="exact"/>
        <w:ind w:firstLine="320"/>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a）应急处置程序。根据可能发生的事故及现场情况，明确事故报警、各项应急措施启动、应急救护人员的引导、事故扩大及同生产经营单位应急预案的衔接程序。</w:t>
      </w:r>
    </w:p>
    <w:p>
      <w:pPr>
        <w:keepNext w:val="0"/>
        <w:keepLines w:val="0"/>
        <w:pageBreakBefore w:val="0"/>
        <w:widowControl w:val="0"/>
        <w:kinsoku/>
        <w:wordWrap/>
        <w:overflowPunct/>
        <w:topLinePunct w:val="0"/>
        <w:autoSpaceDE/>
        <w:autoSpaceDN/>
        <w:bidi w:val="0"/>
        <w:adjustRightInd/>
        <w:snapToGrid/>
        <w:spacing w:before="40" w:after="0" w:line="440" w:lineRule="exact"/>
        <w:ind w:firstLine="320"/>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b）现场应急处置措施。针对可能发生的事故从人员救护、工艺操作、事故控制、消防、现场恢复等方面制定明确的应急处置措施。</w:t>
      </w:r>
    </w:p>
    <w:p>
      <w:pPr>
        <w:keepNext w:val="0"/>
        <w:keepLines w:val="0"/>
        <w:pageBreakBefore w:val="0"/>
        <w:widowControl w:val="0"/>
        <w:kinsoku/>
        <w:wordWrap/>
        <w:overflowPunct/>
        <w:topLinePunct w:val="0"/>
        <w:autoSpaceDE/>
        <w:autoSpaceDN/>
        <w:bidi w:val="0"/>
        <w:adjustRightInd/>
        <w:snapToGrid/>
        <w:spacing w:before="40" w:after="0" w:line="440" w:lineRule="exact"/>
        <w:ind w:firstLine="320"/>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c）明确报警负责人以及报警电话及上级管理部门、相关应急救援单位联络方式和联系人员，事故报告基本要求和内容。</w:t>
      </w:r>
    </w:p>
    <w:p>
      <w:pPr>
        <w:keepNext w:val="0"/>
        <w:keepLines w:val="0"/>
        <w:pageBreakBefore w:val="0"/>
        <w:widowControl w:val="0"/>
        <w:kinsoku/>
        <w:wordWrap/>
        <w:overflowPunct/>
        <w:topLinePunct w:val="0"/>
        <w:autoSpaceDE/>
        <w:autoSpaceDN/>
        <w:bidi w:val="0"/>
        <w:adjustRightInd/>
        <w:snapToGrid/>
        <w:spacing w:before="40" w:after="0" w:line="440" w:lineRule="exact"/>
        <w:jc w:val="both"/>
        <w:textAlignment w:val="auto"/>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8.4注意事项</w:t>
      </w:r>
    </w:p>
    <w:p>
      <w:pPr>
        <w:keepNext w:val="0"/>
        <w:keepLines w:val="0"/>
        <w:pageBreakBefore w:val="0"/>
        <w:widowControl w:val="0"/>
        <w:kinsoku/>
        <w:wordWrap/>
        <w:overflowPunct/>
        <w:topLinePunct w:val="0"/>
        <w:autoSpaceDE/>
        <w:autoSpaceDN/>
        <w:bidi w:val="0"/>
        <w:adjustRightInd/>
        <w:snapToGrid/>
        <w:spacing w:before="40" w:after="0" w:line="440" w:lineRule="exact"/>
        <w:ind w:firstLine="320"/>
        <w:jc w:val="both"/>
        <w:textAlignment w:val="auto"/>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包括人员防护和</w:t>
      </w:r>
      <w:r>
        <w:rPr>
          <w:rFonts w:hint="eastAsia" w:ascii="宋体" w:hAnsi="宋体" w:eastAsia="宋体" w:cs="宋体"/>
          <w:color w:val="000000" w:themeColor="text1"/>
          <w:sz w:val="24"/>
          <w:szCs w:val="24"/>
          <w:lang w:eastAsia="zh-CN"/>
          <w14:textFill>
            <w14:solidFill>
              <w14:schemeClr w14:val="tx1"/>
            </w14:solidFill>
          </w14:textFill>
        </w:rPr>
        <w:t>自</w:t>
      </w:r>
      <w:r>
        <w:rPr>
          <w:rFonts w:hint="eastAsia" w:ascii="宋体" w:hAnsi="宋体" w:eastAsia="宋体" w:cs="宋体"/>
          <w:color w:val="000000" w:themeColor="text1"/>
          <w:sz w:val="24"/>
          <w:szCs w:val="24"/>
          <w14:textFill>
            <w14:solidFill>
              <w14:schemeClr w14:val="tx1"/>
            </w14:solidFill>
          </w14:textFill>
        </w:rPr>
        <w:t>救互救、装备使用、现场安全方面的内容。</w:t>
      </w:r>
    </w:p>
    <w:p>
      <w:pPr>
        <w:spacing w:before="40" w:after="0" w:line="360" w:lineRule="auto"/>
        <w:jc w:val="both"/>
        <w:rPr>
          <w:rFonts w:hint="default" w:ascii="宋体" w:hAnsi="宋体" w:eastAsia="宋体" w:cs="宋体"/>
          <w:b/>
          <w:bCs/>
          <w:color w:val="000000" w:themeColor="text1"/>
          <w:sz w:val="24"/>
          <w:szCs w:val="24"/>
          <w:lang w:val="en-US" w:eastAsia="zh-CN"/>
          <w14:textFill>
            <w14:solidFill>
              <w14:schemeClr w14:val="tx1"/>
            </w14:solidFill>
          </w14:textFill>
        </w:rPr>
      </w:pPr>
      <w:r>
        <w:rPr>
          <w:rFonts w:hint="eastAsia" w:ascii="宋体" w:hAnsi="宋体" w:eastAsia="宋体" w:cs="宋体"/>
          <w:b/>
          <w:bCs/>
          <w:color w:val="000000" w:themeColor="text1"/>
          <w:sz w:val="24"/>
          <w:szCs w:val="24"/>
          <w:lang w:val="en-US" w:eastAsia="zh-CN"/>
          <w14:textFill>
            <w14:solidFill>
              <w14:schemeClr w14:val="tx1"/>
            </w14:solidFill>
          </w14:textFill>
        </w:rPr>
        <w:t>9 附件</w:t>
      </w:r>
    </w:p>
    <w:p>
      <w:pPr>
        <w:spacing w:before="40" w:after="0" w:line="36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9.1生产经营单位概况</w:t>
      </w:r>
    </w:p>
    <w:p>
      <w:pPr>
        <w:spacing w:before="40" w:after="0" w:line="360" w:lineRule="auto"/>
        <w:ind w:firstLine="36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简要描述本单位地址、从业人数、隶属关系、主要原材料、主要产品、产量，以及重点岗位、重点区域、周边重大危险源、重要设施、目标、场所和周边布局情况。</w:t>
      </w:r>
    </w:p>
    <w:p>
      <w:pPr>
        <w:spacing w:before="40" w:after="0" w:line="36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9</w:t>
      </w:r>
      <w:r>
        <w:rPr>
          <w:rFonts w:hint="eastAsia" w:ascii="宋体" w:hAnsi="宋体" w:eastAsia="宋体" w:cs="宋体"/>
          <w:b/>
          <w:bCs/>
          <w:color w:val="000000" w:themeColor="text1"/>
          <w:sz w:val="24"/>
          <w:szCs w:val="24"/>
          <w:lang w:val="en-US" w:eastAsia="zh-CN"/>
          <w14:textFill>
            <w14:solidFill>
              <w14:schemeClr w14:val="tx1"/>
            </w14:solidFill>
          </w14:textFill>
        </w:rPr>
        <w:t>.</w:t>
      </w:r>
      <w:r>
        <w:rPr>
          <w:rFonts w:hint="eastAsia" w:ascii="宋体" w:hAnsi="宋体" w:eastAsia="宋体" w:cs="宋体"/>
          <w:b/>
          <w:bCs/>
          <w:color w:val="000000" w:themeColor="text1"/>
          <w:sz w:val="24"/>
          <w:szCs w:val="24"/>
          <w14:textFill>
            <w14:solidFill>
              <w14:schemeClr w14:val="tx1"/>
            </w14:solidFill>
          </w14:textFill>
        </w:rPr>
        <w:t>2风险评估的结果</w:t>
      </w:r>
    </w:p>
    <w:p>
      <w:pPr>
        <w:spacing w:before="40" w:after="0" w:line="360" w:lineRule="auto"/>
        <w:ind w:firstLine="36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简述本单位风险评估的结果。</w:t>
      </w:r>
    </w:p>
    <w:p>
      <w:pPr>
        <w:spacing w:before="40" w:after="0" w:line="36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9.3预案体系与衔接</w:t>
      </w:r>
    </w:p>
    <w:p>
      <w:pPr>
        <w:spacing w:before="40" w:after="0" w:line="360" w:lineRule="auto"/>
        <w:ind w:firstLine="36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简述本单位应急预案体系构成和分级情况，明确与地方政府及其有关部门、其他相关单位应急预案的衔接关系（可用图示）。</w:t>
      </w:r>
    </w:p>
    <w:p>
      <w:pPr>
        <w:spacing w:before="40" w:after="0" w:line="36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9.4</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应急物资装备的名录或清单</w:t>
      </w:r>
    </w:p>
    <w:p>
      <w:pPr>
        <w:spacing w:before="40" w:after="0" w:line="360" w:lineRule="auto"/>
        <w:ind w:firstLine="480" w:firstLine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列出应急预案涉及的主要物资和装备名称、型号、性能、数量、存放地点、运输和使用条件、管理责任人和联系电话等。</w:t>
      </w:r>
    </w:p>
    <w:p>
      <w:pPr>
        <w:spacing w:before="40" w:after="0" w:line="36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9.5</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有关应急部门、机构或人员的联系方式</w:t>
      </w:r>
    </w:p>
    <w:p>
      <w:pPr>
        <w:spacing w:before="40" w:after="0" w:line="360" w:lineRule="auto"/>
        <w:ind w:firstLine="480" w:firstLine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列出应急工作中需要联系的部门、机构或人员及其多种联系方式。</w:t>
      </w:r>
    </w:p>
    <w:p>
      <w:pPr>
        <w:spacing w:before="40" w:after="0" w:line="36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9.6</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格式化文本</w:t>
      </w:r>
    </w:p>
    <w:p>
      <w:pPr>
        <w:spacing w:before="40" w:after="0" w:line="360" w:lineRule="auto"/>
        <w:ind w:firstLine="480" w:firstLine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列出信息接报、预案启动、信息发布等格式化文本。</w:t>
      </w:r>
    </w:p>
    <w:p>
      <w:pPr>
        <w:spacing w:before="40" w:after="0" w:line="36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9.7</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关键的路线、标识和图纸</w:t>
      </w:r>
    </w:p>
    <w:p>
      <w:pPr>
        <w:spacing w:before="40" w:after="0" w:line="360" w:lineRule="auto"/>
        <w:ind w:firstLine="480" w:firstLine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包括但不限于:</w:t>
      </w:r>
    </w:p>
    <w:p>
      <w:pPr>
        <w:spacing w:before="40" w:after="0" w:line="360" w:lineRule="auto"/>
        <w:ind w:firstLine="480" w:firstLineChars="200"/>
        <w:jc w:val="left"/>
        <w:rPr>
          <w:rFonts w:hint="eastAsia" w:ascii="宋体" w:hAnsi="宋体" w:eastAsia="宋体" w:cs="宋体"/>
          <w:color w:val="000000" w:themeColor="text1"/>
          <w:sz w:val="24"/>
          <w:szCs w:val="24"/>
          <w:lang w:eastAsia="zh-CN"/>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a）警报系统分布及覆盖范围</w:t>
      </w:r>
      <w:r>
        <w:rPr>
          <w:rFonts w:hint="eastAsia" w:ascii="宋体" w:hAnsi="宋体" w:eastAsia="宋体" w:cs="宋体"/>
          <w:color w:val="000000" w:themeColor="text1"/>
          <w:sz w:val="24"/>
          <w:szCs w:val="24"/>
          <w:lang w:eastAsia="zh-CN"/>
          <w14:textFill>
            <w14:solidFill>
              <w14:schemeClr w14:val="tx1"/>
            </w14:solidFill>
          </w14:textFill>
        </w:rPr>
        <w:t>；</w:t>
      </w:r>
    </w:p>
    <w:p>
      <w:pPr>
        <w:spacing w:before="40" w:after="0" w:line="360" w:lineRule="auto"/>
        <w:ind w:firstLine="480" w:firstLine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b）重要防护目标、风险清单及分布图</w:t>
      </w:r>
      <w:r>
        <w:rPr>
          <w:rFonts w:hint="eastAsia" w:ascii="宋体" w:hAnsi="宋体" w:eastAsia="宋体" w:cs="宋体"/>
          <w:color w:val="000000" w:themeColor="text1"/>
          <w:sz w:val="24"/>
          <w:szCs w:val="24"/>
          <w:lang w:eastAsia="zh-CN"/>
          <w14:textFill>
            <w14:solidFill>
              <w14:schemeClr w14:val="tx1"/>
            </w14:solidFill>
          </w14:textFill>
        </w:rPr>
        <w:t>；</w:t>
      </w:r>
    </w:p>
    <w:p>
      <w:pPr>
        <w:spacing w:before="40" w:after="0" w:line="360" w:lineRule="auto"/>
        <w:ind w:firstLine="480" w:firstLine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c）应</w:t>
      </w:r>
      <w:r>
        <w:rPr>
          <w:rFonts w:hint="eastAsia" w:ascii="宋体" w:hAnsi="宋体" w:eastAsia="宋体" w:cs="宋体"/>
          <w:color w:val="000000" w:themeColor="text1"/>
          <w:sz w:val="24"/>
          <w:szCs w:val="24"/>
          <w:lang w:eastAsia="zh-CN"/>
          <w14:textFill>
            <w14:solidFill>
              <w14:schemeClr w14:val="tx1"/>
            </w14:solidFill>
          </w14:textFill>
        </w:rPr>
        <w:t>急</w:t>
      </w:r>
      <w:r>
        <w:rPr>
          <w:rFonts w:hint="eastAsia" w:ascii="宋体" w:hAnsi="宋体" w:eastAsia="宋体" w:cs="宋体"/>
          <w:color w:val="000000" w:themeColor="text1"/>
          <w:sz w:val="24"/>
          <w:szCs w:val="24"/>
          <w14:textFill>
            <w14:solidFill>
              <w14:schemeClr w14:val="tx1"/>
            </w14:solidFill>
          </w14:textFill>
        </w:rPr>
        <w:t>指挥部（现场指挥部）位置及救援队伍行动路线</w:t>
      </w:r>
      <w:r>
        <w:rPr>
          <w:rFonts w:hint="eastAsia" w:ascii="宋体" w:hAnsi="宋体" w:eastAsia="宋体" w:cs="宋体"/>
          <w:color w:val="000000" w:themeColor="text1"/>
          <w:sz w:val="24"/>
          <w:szCs w:val="24"/>
          <w:lang w:eastAsia="zh-CN"/>
          <w14:textFill>
            <w14:solidFill>
              <w14:schemeClr w14:val="tx1"/>
            </w14:solidFill>
          </w14:textFill>
        </w:rPr>
        <w:t>；</w:t>
      </w:r>
      <w:bookmarkStart w:id="0" w:name="_GoBack"/>
      <w:bookmarkEnd w:id="0"/>
    </w:p>
    <w:p>
      <w:pPr>
        <w:spacing w:before="40" w:after="0" w:line="360" w:lineRule="auto"/>
        <w:ind w:firstLine="480" w:firstLine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d）疏散路线、集结点、警戒范围、重要地点的标识</w:t>
      </w:r>
      <w:r>
        <w:rPr>
          <w:rFonts w:hint="eastAsia" w:ascii="宋体" w:hAnsi="宋体" w:eastAsia="宋体" w:cs="宋体"/>
          <w:color w:val="000000" w:themeColor="text1"/>
          <w:sz w:val="24"/>
          <w:szCs w:val="24"/>
          <w:lang w:eastAsia="zh-CN"/>
          <w14:textFill>
            <w14:solidFill>
              <w14:schemeClr w14:val="tx1"/>
            </w14:solidFill>
          </w14:textFill>
        </w:rPr>
        <w:t>；</w:t>
      </w:r>
    </w:p>
    <w:p>
      <w:pPr>
        <w:spacing w:before="40" w:after="0" w:line="360" w:lineRule="auto"/>
        <w:ind w:firstLine="480" w:firstLine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e）相关平面布置、应急资源分布的图纸</w:t>
      </w:r>
      <w:r>
        <w:rPr>
          <w:rFonts w:hint="eastAsia" w:ascii="宋体" w:hAnsi="宋体" w:eastAsia="宋体" w:cs="宋体"/>
          <w:color w:val="000000" w:themeColor="text1"/>
          <w:sz w:val="24"/>
          <w:szCs w:val="24"/>
          <w:lang w:eastAsia="zh-CN"/>
          <w14:textFill>
            <w14:solidFill>
              <w14:schemeClr w14:val="tx1"/>
            </w14:solidFill>
          </w14:textFill>
        </w:rPr>
        <w:t>；</w:t>
      </w:r>
    </w:p>
    <w:p>
      <w:pPr>
        <w:spacing w:before="40" w:after="0" w:line="360" w:lineRule="auto"/>
        <w:ind w:firstLine="480" w:firstLine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f）生产经营单位的地理位置图、周边关系图、附近交通图</w:t>
      </w:r>
      <w:r>
        <w:rPr>
          <w:rFonts w:hint="eastAsia" w:ascii="宋体" w:hAnsi="宋体" w:eastAsia="宋体" w:cs="宋体"/>
          <w:color w:val="000000" w:themeColor="text1"/>
          <w:sz w:val="24"/>
          <w:szCs w:val="24"/>
          <w:lang w:eastAsia="zh-CN"/>
          <w14:textFill>
            <w14:solidFill>
              <w14:schemeClr w14:val="tx1"/>
            </w14:solidFill>
          </w14:textFill>
        </w:rPr>
        <w:t>；</w:t>
      </w:r>
    </w:p>
    <w:p>
      <w:pPr>
        <w:spacing w:before="40" w:after="0" w:line="360" w:lineRule="auto"/>
        <w:ind w:firstLine="480" w:firstLine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g）事故风险可能导致的影响范围图</w:t>
      </w:r>
      <w:r>
        <w:rPr>
          <w:rFonts w:hint="eastAsia" w:ascii="宋体" w:hAnsi="宋体" w:eastAsia="宋体" w:cs="宋体"/>
          <w:color w:val="000000" w:themeColor="text1"/>
          <w:sz w:val="24"/>
          <w:szCs w:val="24"/>
          <w:lang w:eastAsia="zh-CN"/>
          <w14:textFill>
            <w14:solidFill>
              <w14:schemeClr w14:val="tx1"/>
            </w14:solidFill>
          </w14:textFill>
        </w:rPr>
        <w:t>；</w:t>
      </w:r>
    </w:p>
    <w:p>
      <w:pPr>
        <w:spacing w:before="40" w:after="0" w:line="360" w:lineRule="auto"/>
        <w:ind w:firstLine="480" w:firstLine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h）附近医院地理位置图及路线图。</w:t>
      </w:r>
    </w:p>
    <w:p>
      <w:pPr>
        <w:spacing w:before="40" w:after="0" w:line="36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9.8有关协议或者备忘录</w:t>
      </w:r>
    </w:p>
    <w:p>
      <w:pPr>
        <w:spacing w:before="40" w:after="0" w:line="360" w:lineRule="auto"/>
        <w:ind w:firstLine="480" w:firstLine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列出与相关应急救援部门签订的应急救援协议或备忘录。</w:t>
      </w:r>
    </w:p>
    <w:p>
      <w:pPr>
        <w:spacing w:before="40" w:after="0" w:line="360" w:lineRule="auto"/>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60"/>
        <w:jc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附</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录</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A</w:t>
      </w:r>
    </w:p>
    <w:p>
      <w:pPr>
        <w:spacing w:before="40" w:after="0" w:line="360" w:lineRule="auto"/>
        <w:ind w:firstLine="360"/>
        <w:jc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(资料性附录)</w:t>
      </w:r>
    </w:p>
    <w:p>
      <w:pPr>
        <w:spacing w:before="40" w:after="0" w:line="360" w:lineRule="auto"/>
        <w:ind w:firstLine="360"/>
        <w:jc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生产安全事故风险评估报告编制大纲</w:t>
      </w:r>
    </w:p>
    <w:p>
      <w:pPr>
        <w:spacing w:before="40" w:after="0" w:line="48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A.1</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危险有害因素辨识</w:t>
      </w:r>
    </w:p>
    <w:p>
      <w:pPr>
        <w:spacing w:before="40" w:after="0" w:line="48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描述生产经营单位危险有害因素辨识的情况(可用列表形式表述)。</w:t>
      </w:r>
    </w:p>
    <w:p>
      <w:pPr>
        <w:spacing w:before="40" w:after="0" w:line="48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A.2</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事故风险分析</w:t>
      </w:r>
    </w:p>
    <w:p>
      <w:pPr>
        <w:spacing w:before="40" w:after="0" w:line="48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描述生产经营单位事故风险的类型、事故发生的可能性、危害后果和影响范围(可用列表形式表述)。</w:t>
      </w:r>
    </w:p>
    <w:p>
      <w:pPr>
        <w:spacing w:before="40" w:after="0" w:line="48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A.3</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事故风险评价</w:t>
      </w:r>
    </w:p>
    <w:p>
      <w:pPr>
        <w:spacing w:before="40" w:after="0" w:line="48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描述生产经营单位事故风险的类别及风险等级(可用列表形式表述)。</w:t>
      </w:r>
    </w:p>
    <w:p>
      <w:pPr>
        <w:spacing w:before="40" w:after="0" w:line="48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A.4</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结论建议</w:t>
      </w:r>
    </w:p>
    <w:p>
      <w:pPr>
        <w:spacing w:before="40" w:after="0" w:line="480" w:lineRule="auto"/>
        <w:ind w:firstLine="36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得出生产经营单位应急预案体系建设的计划建议。</w:t>
      </w:r>
    </w:p>
    <w:p>
      <w:pPr>
        <w:spacing w:before="40" w:after="0" w:line="360" w:lineRule="auto"/>
        <w:ind w:firstLine="36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6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6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6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6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6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6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6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6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6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6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6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6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6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400"/>
        <w:jc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附</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录</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B</w:t>
      </w:r>
    </w:p>
    <w:p>
      <w:pPr>
        <w:spacing w:before="40" w:after="0" w:line="360" w:lineRule="auto"/>
        <w:ind w:firstLine="400"/>
        <w:jc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(资料性附录)</w:t>
      </w:r>
    </w:p>
    <w:p>
      <w:pPr>
        <w:spacing w:before="40" w:after="0" w:line="360" w:lineRule="auto"/>
        <w:ind w:firstLine="400"/>
        <w:jc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生产安全事故应急资源调查报告编制大纲</w:t>
      </w:r>
    </w:p>
    <w:p>
      <w:pPr>
        <w:spacing w:before="40" w:after="0" w:line="360" w:lineRule="auto"/>
        <w:ind w:firstLine="400"/>
        <w:jc w:val="center"/>
        <w:rPr>
          <w:rFonts w:hint="eastAsia" w:ascii="宋体" w:hAnsi="宋体" w:eastAsia="宋体" w:cs="宋体"/>
          <w:b/>
          <w:bCs/>
          <w:color w:val="000000" w:themeColor="text1"/>
          <w:sz w:val="24"/>
          <w:szCs w:val="24"/>
          <w14:textFill>
            <w14:solidFill>
              <w14:schemeClr w14:val="tx1"/>
            </w14:solidFill>
          </w14:textFill>
        </w:rPr>
      </w:pPr>
    </w:p>
    <w:p>
      <w:pPr>
        <w:spacing w:before="40" w:after="0" w:line="48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B.1</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单位内部应急资源</w:t>
      </w:r>
    </w:p>
    <w:p>
      <w:pPr>
        <w:spacing w:before="40" w:after="0" w:line="48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按照应急资源的分类，分别描述相关应急资源的基本现状、功能完善程度、受可能发生的事故的影响程度(可用列表形式表述)。</w:t>
      </w:r>
    </w:p>
    <w:p>
      <w:pPr>
        <w:spacing w:before="40" w:after="0" w:line="48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B.2</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单位外部应急资源</w:t>
      </w:r>
    </w:p>
    <w:p>
      <w:pPr>
        <w:spacing w:before="40" w:after="0" w:line="48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描述本单位能够调查或掌握可用于参与事故处置的外部应急资源情况(可用列表形式表述)。</w:t>
      </w:r>
    </w:p>
    <w:p>
      <w:pPr>
        <w:spacing w:before="40" w:after="0" w:line="48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B.3</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应急资源差距分析</w:t>
      </w:r>
    </w:p>
    <w:p>
      <w:pPr>
        <w:spacing w:before="40" w:after="0" w:line="48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依据风险评估结果得出本单位的应急资源需求，与本单位现有内外部应急资源对比，提出本单位内外部应急资源补充建议。</w:t>
      </w:r>
    </w:p>
    <w:p>
      <w:pPr>
        <w:spacing w:before="40" w:after="0" w:line="360" w:lineRule="auto"/>
        <w:ind w:firstLine="40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40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40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40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40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40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40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40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40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40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40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40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40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400"/>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60"/>
        <w:jc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lang w:eastAsia="zh-CN"/>
          <w14:textFill>
            <w14:solidFill>
              <w14:schemeClr w14:val="tx1"/>
            </w14:solidFill>
          </w14:textFill>
        </w:rPr>
        <w:t>附</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录</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C</w:t>
      </w:r>
    </w:p>
    <w:p>
      <w:pPr>
        <w:spacing w:before="40" w:after="0" w:line="360" w:lineRule="auto"/>
        <w:ind w:firstLine="360"/>
        <w:jc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(资料性附录)</w:t>
      </w:r>
    </w:p>
    <w:p>
      <w:pPr>
        <w:spacing w:before="40" w:after="0" w:line="360" w:lineRule="auto"/>
        <w:ind w:firstLine="360"/>
        <w:jc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应急预案编制格式和要求</w:t>
      </w:r>
    </w:p>
    <w:p>
      <w:pPr>
        <w:spacing w:before="40" w:after="0" w:line="48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C.1 封面</w:t>
      </w:r>
    </w:p>
    <w:p>
      <w:pPr>
        <w:spacing w:before="40" w:after="0" w:line="48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应急预案封面主要包括应急预案编号、应急预案版本号、生产经营单位名称、应急预案名称及颁布日期。</w:t>
      </w:r>
    </w:p>
    <w:p>
      <w:pPr>
        <w:spacing w:before="40" w:after="0" w:line="48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C.2批准页</w:t>
      </w:r>
    </w:p>
    <w:p>
      <w:pPr>
        <w:spacing w:before="40" w:after="0" w:line="48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应急预案应经生产经营单位主要负责人批准方可发布。</w:t>
      </w:r>
    </w:p>
    <w:p>
      <w:pPr>
        <w:spacing w:before="40" w:after="0" w:line="480" w:lineRule="auto"/>
        <w:jc w:val="left"/>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C.3 目次</w:t>
      </w:r>
    </w:p>
    <w:p>
      <w:pPr>
        <w:spacing w:before="40" w:after="0" w:line="48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应急预案应设置目次，目次中所列的内容及次序如下:</w:t>
      </w:r>
    </w:p>
    <w:p>
      <w:pPr>
        <w:spacing w:before="40" w:after="0" w:line="480" w:lineRule="auto"/>
        <w:ind w:firstLine="480" w:firstLine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a)批准页:</w:t>
      </w:r>
    </w:p>
    <w:p>
      <w:pPr>
        <w:spacing w:before="40" w:after="0" w:line="480" w:lineRule="auto"/>
        <w:ind w:firstLine="480" w:firstLine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b)应急预案执行部门签署页:</w:t>
      </w:r>
    </w:p>
    <w:p>
      <w:pPr>
        <w:spacing w:before="40" w:after="0" w:line="480" w:lineRule="auto"/>
        <w:ind w:firstLine="480" w:firstLine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c)章的编号、标题:</w:t>
      </w:r>
    </w:p>
    <w:p>
      <w:pPr>
        <w:spacing w:before="40" w:after="0" w:line="480" w:lineRule="auto"/>
        <w:ind w:firstLine="480" w:firstLineChars="20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d)带有标题的条的编号、标题(需要时列出) :</w:t>
      </w:r>
    </w:p>
    <w:p>
      <w:pPr>
        <w:spacing w:before="40" w:after="0" w:line="480" w:lineRule="auto"/>
        <w:ind w:firstLine="480" w:firstLineChars="200"/>
        <w:jc w:val="left"/>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c)附件，用序号表明其顺序。</w:t>
      </w:r>
    </w:p>
    <w:p>
      <w:pPr>
        <w:spacing w:before="40" w:after="0" w:line="360" w:lineRule="auto"/>
        <w:ind w:firstLine="360"/>
        <w:jc w:val="left"/>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60"/>
        <w:jc w:val="left"/>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60"/>
        <w:jc w:val="left"/>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60"/>
        <w:jc w:val="left"/>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60"/>
        <w:jc w:val="left"/>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60"/>
        <w:jc w:val="left"/>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60"/>
        <w:jc w:val="left"/>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60"/>
        <w:jc w:val="left"/>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60"/>
        <w:jc w:val="left"/>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60"/>
        <w:jc w:val="left"/>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ind w:firstLine="380"/>
        <w:jc w:val="center"/>
        <w:rPr>
          <w:rFonts w:hint="eastAsia" w:ascii="宋体" w:hAnsi="宋体" w:eastAsia="宋体" w:cs="宋体"/>
          <w:b/>
          <w:bCs/>
          <w:color w:val="000000" w:themeColor="text1"/>
          <w:sz w:val="24"/>
          <w:szCs w:val="24"/>
          <w14:textFill>
            <w14:solidFill>
              <w14:schemeClr w14:val="tx1"/>
            </w14:solidFill>
          </w14:textFill>
        </w:rPr>
      </w:pPr>
    </w:p>
    <w:p>
      <w:pPr>
        <w:spacing w:before="40" w:after="0" w:line="360" w:lineRule="auto"/>
        <w:ind w:firstLine="380"/>
        <w:jc w:val="center"/>
        <w:rPr>
          <w:rFonts w:hint="eastAsia" w:ascii="宋体" w:hAnsi="宋体" w:eastAsia="宋体" w:cs="宋体"/>
          <w:b/>
          <w:bCs/>
          <w:color w:val="000000" w:themeColor="text1"/>
          <w:sz w:val="24"/>
          <w:szCs w:val="24"/>
          <w14:textFill>
            <w14:solidFill>
              <w14:schemeClr w14:val="tx1"/>
            </w14:solidFill>
          </w14:textFill>
        </w:rPr>
      </w:pPr>
      <w:r>
        <w:rPr>
          <w:rFonts w:hint="eastAsia" w:ascii="宋体" w:hAnsi="宋体" w:eastAsia="宋体" w:cs="宋体"/>
          <w:b/>
          <w:bCs/>
          <w:color w:val="000000" w:themeColor="text1"/>
          <w:sz w:val="24"/>
          <w:szCs w:val="24"/>
          <w14:textFill>
            <w14:solidFill>
              <w14:schemeClr w14:val="tx1"/>
            </w14:solidFill>
          </w14:textFill>
        </w:rPr>
        <w:t>参</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考</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文</w:t>
      </w:r>
      <w:r>
        <w:rPr>
          <w:rFonts w:hint="eastAsia" w:ascii="宋体" w:hAnsi="宋体" w:eastAsia="宋体" w:cs="宋体"/>
          <w:b/>
          <w:bCs/>
          <w:color w:val="000000" w:themeColor="text1"/>
          <w:sz w:val="24"/>
          <w:szCs w:val="24"/>
          <w:lang w:val="en-US" w:eastAsia="zh-CN"/>
          <w14:textFill>
            <w14:solidFill>
              <w14:schemeClr w14:val="tx1"/>
            </w14:solidFill>
          </w14:textFill>
        </w:rPr>
        <w:t xml:space="preserve"> </w:t>
      </w:r>
      <w:r>
        <w:rPr>
          <w:rFonts w:hint="eastAsia" w:ascii="宋体" w:hAnsi="宋体" w:eastAsia="宋体" w:cs="宋体"/>
          <w:b/>
          <w:bCs/>
          <w:color w:val="000000" w:themeColor="text1"/>
          <w:sz w:val="24"/>
          <w:szCs w:val="24"/>
          <w14:textFill>
            <w14:solidFill>
              <w14:schemeClr w14:val="tx1"/>
            </w14:solidFill>
          </w14:textFill>
        </w:rPr>
        <w:t>献</w:t>
      </w:r>
    </w:p>
    <w:p>
      <w:pPr>
        <w:spacing w:before="40" w:after="0" w:line="360" w:lineRule="auto"/>
        <w:ind w:firstLine="380"/>
        <w:jc w:val="center"/>
        <w:rPr>
          <w:rFonts w:hint="eastAsia" w:ascii="宋体" w:hAnsi="宋体" w:eastAsia="宋体" w:cs="宋体"/>
          <w:b/>
          <w:bCs/>
          <w:color w:val="000000" w:themeColor="text1"/>
          <w:sz w:val="24"/>
          <w:szCs w:val="24"/>
          <w14:textFill>
            <w14:solidFill>
              <w14:schemeClr w14:val="tx1"/>
            </w14:solidFill>
          </w14:textFill>
        </w:rPr>
      </w:pPr>
    </w:p>
    <w:p>
      <w:pPr>
        <w:spacing w:before="40" w:after="0" w:line="360" w:lineRule="auto"/>
        <w:ind w:firstLine="3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[1] GB/T24353- 2009 风险管理</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原则与实施指南</w:t>
      </w:r>
    </w:p>
    <w:p>
      <w:pPr>
        <w:spacing w:before="40" w:after="0" w:line="360" w:lineRule="auto"/>
        <w:ind w:firstLine="3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[2] GB/T27921- 2011 风险管理</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风险评估技术</w:t>
      </w:r>
    </w:p>
    <w:p>
      <w:pPr>
        <w:spacing w:before="40" w:after="0" w:line="360" w:lineRule="auto"/>
        <w:ind w:firstLine="3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[3]国办发(2013)101号国务院办公厅关于印发突发事件应急预案管理办法的通知</w:t>
      </w:r>
    </w:p>
    <w:p>
      <w:pPr>
        <w:spacing w:before="40" w:after="0" w:line="360" w:lineRule="auto"/>
        <w:ind w:firstLine="3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[4]应急管理部关于修改《生产安全事故应急预案管理办法》的决定(应急管理部令第2号)</w:t>
      </w:r>
    </w:p>
    <w:p>
      <w:pPr>
        <w:spacing w:before="40" w:after="0" w:line="360" w:lineRule="auto"/>
        <w:ind w:firstLine="380"/>
        <w:jc w:val="both"/>
        <w:rPr>
          <w:rFonts w:hint="eastAsia" w:ascii="宋体" w:hAnsi="宋体" w:eastAsia="宋体" w:cs="宋体"/>
          <w:color w:val="000000" w:themeColor="text1"/>
          <w:sz w:val="24"/>
          <w:szCs w:val="24"/>
          <w14:textFill>
            <w14:solidFill>
              <w14:schemeClr w14:val="tx1"/>
            </w14:solidFill>
          </w14:textFill>
        </w:rPr>
      </w:pPr>
      <w:r>
        <w:rPr>
          <w:rFonts w:hint="eastAsia" w:ascii="宋体" w:hAnsi="宋体" w:eastAsia="宋体" w:cs="宋体"/>
          <w:color w:val="000000" w:themeColor="text1"/>
          <w:sz w:val="24"/>
          <w:szCs w:val="24"/>
          <w14:textFill>
            <w14:solidFill>
              <w14:schemeClr w14:val="tx1"/>
            </w14:solidFill>
          </w14:textFill>
        </w:rPr>
        <w:t>[5] NFPA 1600 Standard on Disaster/Emergency Management and Business Continuity Programs 2013</w:t>
      </w:r>
      <w:r>
        <w:rPr>
          <w:rFonts w:hint="eastAsia" w:ascii="宋体" w:hAnsi="宋体" w:eastAsia="宋体" w:cs="宋体"/>
          <w:color w:val="000000" w:themeColor="text1"/>
          <w:sz w:val="24"/>
          <w:szCs w:val="24"/>
          <w:lang w:val="en-US" w:eastAsia="zh-CN"/>
          <w14:textFill>
            <w14:solidFill>
              <w14:schemeClr w14:val="tx1"/>
            </w14:solidFill>
          </w14:textFill>
        </w:rPr>
        <w:t xml:space="preserve"> </w:t>
      </w:r>
      <w:r>
        <w:rPr>
          <w:rFonts w:hint="eastAsia" w:ascii="宋体" w:hAnsi="宋体" w:eastAsia="宋体" w:cs="宋体"/>
          <w:color w:val="000000" w:themeColor="text1"/>
          <w:sz w:val="24"/>
          <w:szCs w:val="24"/>
          <w14:textFill>
            <w14:solidFill>
              <w14:schemeClr w14:val="tx1"/>
            </w14:solidFill>
          </w14:textFill>
        </w:rPr>
        <w:t>Edition</w:t>
      </w:r>
    </w:p>
    <w:p>
      <w:pPr>
        <w:spacing w:before="40" w:after="0" w:line="360" w:lineRule="auto"/>
        <w:jc w:val="left"/>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jc w:val="both"/>
        <w:rPr>
          <w:rFonts w:hint="eastAsia" w:ascii="宋体" w:hAnsi="宋体" w:eastAsia="宋体" w:cs="宋体"/>
          <w:color w:val="000000" w:themeColor="text1"/>
          <w:sz w:val="24"/>
          <w:szCs w:val="24"/>
          <w14:textFill>
            <w14:solidFill>
              <w14:schemeClr w14:val="tx1"/>
            </w14:solidFill>
          </w14:textFill>
        </w:rPr>
      </w:pPr>
    </w:p>
    <w:p>
      <w:pPr>
        <w:spacing w:before="40" w:after="0" w:line="360" w:lineRule="auto"/>
        <w:jc w:val="left"/>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pPr>
    </w:p>
    <w:p>
      <w:pPr>
        <w:spacing w:before="40" w:after="0" w:line="360" w:lineRule="auto"/>
        <w:ind w:firstLine="340"/>
        <w:jc w:val="left"/>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pPr>
    </w:p>
    <w:p>
      <w:pPr>
        <w:spacing w:before="40" w:after="0" w:line="360" w:lineRule="auto"/>
        <w:ind w:firstLine="340"/>
        <w:jc w:val="left"/>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pPr>
    </w:p>
    <w:p>
      <w:pPr>
        <w:spacing w:before="40" w:after="0" w:line="360" w:lineRule="auto"/>
        <w:ind w:firstLine="340"/>
        <w:jc w:val="left"/>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pPr>
    </w:p>
    <w:p>
      <w:pPr>
        <w:spacing w:before="40" w:after="0" w:line="360" w:lineRule="auto"/>
        <w:ind w:firstLine="340"/>
        <w:jc w:val="left"/>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pPr>
    </w:p>
    <w:p>
      <w:pPr>
        <w:spacing w:before="40" w:after="0" w:line="360" w:lineRule="auto"/>
        <w:ind w:firstLine="340"/>
        <w:jc w:val="left"/>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pPr>
    </w:p>
    <w:p>
      <w:pPr>
        <w:spacing w:before="40" w:after="0" w:line="360" w:lineRule="auto"/>
        <w:ind w:firstLine="340"/>
        <w:jc w:val="left"/>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pPr>
    </w:p>
    <w:p>
      <w:pPr>
        <w:spacing w:before="40" w:after="0" w:line="360" w:lineRule="auto"/>
        <w:ind w:firstLine="340"/>
        <w:jc w:val="left"/>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pPr>
    </w:p>
    <w:p>
      <w:pPr>
        <w:spacing w:before="40" w:after="0" w:line="360" w:lineRule="auto"/>
        <w:ind w:firstLine="340"/>
        <w:jc w:val="left"/>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pPr>
    </w:p>
    <w:p>
      <w:pPr>
        <w:spacing w:before="40" w:after="0" w:line="360" w:lineRule="auto"/>
        <w:ind w:firstLine="340"/>
        <w:jc w:val="left"/>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pPr>
    </w:p>
    <w:p>
      <w:pPr>
        <w:spacing w:before="40" w:after="0" w:line="360" w:lineRule="auto"/>
        <w:ind w:firstLine="340"/>
        <w:jc w:val="left"/>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pPr>
    </w:p>
    <w:p>
      <w:pPr>
        <w:spacing w:before="40" w:after="0" w:line="360" w:lineRule="auto"/>
        <w:ind w:firstLine="340"/>
        <w:jc w:val="left"/>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pPr>
    </w:p>
    <w:p>
      <w:pPr>
        <w:spacing w:before="40" w:after="0" w:line="360" w:lineRule="auto"/>
        <w:jc w:val="left"/>
        <w:rPr>
          <w:rFonts w:hint="eastAsia" w:ascii="宋体" w:hAnsi="宋体" w:eastAsia="宋体" w:cs="宋体"/>
          <w:color w:val="0D0D0D" w:themeColor="text1" w:themeTint="F2"/>
          <w:sz w:val="24"/>
          <w:szCs w:val="24"/>
          <w14:textFill>
            <w14:solidFill>
              <w14:schemeClr w14:val="tx1">
                <w14:lumMod w14:val="95000"/>
                <w14:lumOff w14:val="5000"/>
              </w14:schemeClr>
            </w14:solidFill>
          </w14:textFill>
        </w:rPr>
      </w:pPr>
    </w:p>
    <w:p>
      <w:pPr>
        <w:keepNext w:val="0"/>
        <w:keepLines w:val="0"/>
        <w:pageBreakBefore w:val="0"/>
        <w:widowControl w:val="0"/>
        <w:kinsoku/>
        <w:wordWrap/>
        <w:overflowPunct/>
        <w:topLinePunct w:val="0"/>
        <w:autoSpaceDE/>
        <w:autoSpaceDN/>
        <w:bidi w:val="0"/>
        <w:adjustRightInd/>
        <w:snapToGrid/>
        <w:spacing w:after="0" w:line="280" w:lineRule="exact"/>
        <w:jc w:val="left"/>
        <w:textAlignment w:val="auto"/>
        <w:rPr>
          <w:rFonts w:hint="eastAsia" w:ascii="宋体" w:hAnsi="宋体" w:eastAsia="宋体" w:cs="宋体"/>
          <w:color w:val="0C0C0C"/>
          <w:sz w:val="21"/>
          <w:szCs w:val="21"/>
          <w:lang w:eastAsia="zh-CN"/>
        </w:rPr>
      </w:pPr>
    </w:p>
    <w:sectPr>
      <w:footerReference r:id="rId3" w:type="default"/>
      <w:pgSz w:w="11907" w:h="16839"/>
      <w:pgMar w:top="884" w:right="1000" w:bottom="884" w:left="1000" w:header="851" w:footer="992" w:gutter="0"/>
      <w:pgNumType w:fmt="decimal" w:start="1"/>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824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pPr>
                      <w:pStyle w:val="2"/>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3</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0C1A"/>
    <w:rsid w:val="000C51B7"/>
    <w:rsid w:val="00216EB9"/>
    <w:rsid w:val="0059531B"/>
    <w:rsid w:val="00616505"/>
    <w:rsid w:val="0062213C"/>
    <w:rsid w:val="00633F40"/>
    <w:rsid w:val="006549AD"/>
    <w:rsid w:val="00684D9C"/>
    <w:rsid w:val="00850A91"/>
    <w:rsid w:val="00A60633"/>
    <w:rsid w:val="00BA0C1A"/>
    <w:rsid w:val="00C061CB"/>
    <w:rsid w:val="00C604EC"/>
    <w:rsid w:val="00E26251"/>
    <w:rsid w:val="00EA1EE8"/>
    <w:rsid w:val="00F53662"/>
    <w:rsid w:val="0185594D"/>
    <w:rsid w:val="02561244"/>
    <w:rsid w:val="02F25714"/>
    <w:rsid w:val="03AF67B7"/>
    <w:rsid w:val="03D133F3"/>
    <w:rsid w:val="048A2A42"/>
    <w:rsid w:val="069F7DE8"/>
    <w:rsid w:val="083D07F0"/>
    <w:rsid w:val="0CEA62F3"/>
    <w:rsid w:val="0E835AFC"/>
    <w:rsid w:val="105E3B74"/>
    <w:rsid w:val="106A4092"/>
    <w:rsid w:val="15653E66"/>
    <w:rsid w:val="17102F1C"/>
    <w:rsid w:val="1A993775"/>
    <w:rsid w:val="1C2C4424"/>
    <w:rsid w:val="1CD54CE6"/>
    <w:rsid w:val="1DEC38DC"/>
    <w:rsid w:val="220630EA"/>
    <w:rsid w:val="221B208D"/>
    <w:rsid w:val="27DB6240"/>
    <w:rsid w:val="2EB02412"/>
    <w:rsid w:val="30456175"/>
    <w:rsid w:val="314E2AAB"/>
    <w:rsid w:val="31CF1677"/>
    <w:rsid w:val="36772279"/>
    <w:rsid w:val="3A861A0C"/>
    <w:rsid w:val="3BCA5F68"/>
    <w:rsid w:val="3D393B4A"/>
    <w:rsid w:val="406B27E0"/>
    <w:rsid w:val="41A42454"/>
    <w:rsid w:val="42BC64FA"/>
    <w:rsid w:val="434067C1"/>
    <w:rsid w:val="45396560"/>
    <w:rsid w:val="46115FE1"/>
    <w:rsid w:val="568D20C3"/>
    <w:rsid w:val="58376595"/>
    <w:rsid w:val="58AB5808"/>
    <w:rsid w:val="5A567C24"/>
    <w:rsid w:val="5B1B2293"/>
    <w:rsid w:val="5B9275ED"/>
    <w:rsid w:val="5F2E29CA"/>
    <w:rsid w:val="6031652D"/>
    <w:rsid w:val="628630EE"/>
    <w:rsid w:val="6A5103BD"/>
    <w:rsid w:val="6E3C68FE"/>
    <w:rsid w:val="6EA424AF"/>
    <w:rsid w:val="6EAF13B0"/>
    <w:rsid w:val="70D03A00"/>
    <w:rsid w:val="71061E72"/>
    <w:rsid w:val="73185B26"/>
    <w:rsid w:val="732C4834"/>
    <w:rsid w:val="74376EF9"/>
    <w:rsid w:val="791E27CC"/>
    <w:rsid w:val="7A3B2499"/>
    <w:rsid w:val="7FDF60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unhideWhenUsed/>
    <w:qFormat/>
    <w:uiPriority w:val="99"/>
    <w:pPr>
      <w:tabs>
        <w:tab w:val="center" w:pos="4153"/>
        <w:tab w:val="right" w:pos="8306"/>
      </w:tabs>
      <w:snapToGrid w:val="0"/>
      <w:jc w:val="left"/>
    </w:pPr>
    <w:rPr>
      <w:sz w:val="18"/>
      <w:szCs w:val="18"/>
    </w:rPr>
  </w:style>
  <w:style w:type="paragraph" w:styleId="3">
    <w:name w:val="header"/>
    <w:basedOn w:val="1"/>
    <w:link w:val="7"/>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7">
    <w:name w:val="页眉 字符"/>
    <w:basedOn w:val="6"/>
    <w:link w:val="3"/>
    <w:semiHidden/>
    <w:qFormat/>
    <w:uiPriority w:val="99"/>
    <w:rPr>
      <w:sz w:val="18"/>
      <w:szCs w:val="18"/>
    </w:rPr>
  </w:style>
  <w:style w:type="character" w:customStyle="1" w:styleId="8">
    <w:name w:val="页脚 字符"/>
    <w:basedOn w:val="6"/>
    <w:link w:val="2"/>
    <w:semiHidden/>
    <w:qFormat/>
    <w:uiPriority w:val="99"/>
    <w:rPr>
      <w:sz w:val="18"/>
      <w:szCs w:val="18"/>
    </w:rPr>
  </w:style>
  <w:style w:type="paragraph" w:styleId="9">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2.xml><?xml version="1.0" encoding="utf-8"?>
<b:Sources xmlns:w="http://schemas.openxmlformats.org/wordprocessingml/2006/main" xmlns:r="http://schemas.openxmlformats.org/officeDocument/2006/relationships" xmlns:w15="http://schemas.microsoft.com/office/word/2012/wordml" xmlns:m="http://schemas.openxmlformats.org/officeDocument/2006/math" xmlns:w14="http://schemas.microsoft.com/office/word/2010/wordml" xmlns:wp="http://schemas.openxmlformats.org/drawingml/2006/wordprocessingDrawing" xmlns:a="http://schemas.openxmlformats.org/drawingml/2006/main" xmlns:wp14="http://schemas.microsoft.com/office/word/2010/wordprocessingDrawing" xmlns:ns9="http://schemas.openxmlformats.org/schemaLibrary/2006/main" xmlns:mc="http://schemas.openxmlformats.org/markup-compatibility/2006" xmlns:wne="http://schemas.microsoft.com/office/word/2006/wordml" xmlns:c="http://schemas.openxmlformats.org/drawingml/2006/chart" xmlns:ns13="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8="urn:schemas-microsoft-com:office:excel" xmlns:o="urn:schemas-microsoft-com:office:office" xmlns:v="urn:schemas-microsoft-com:vml" xmlns:w10="urn:schemas-microsoft-com:office:word" xmlns:ns22="urn:schemas-microsoft-com:office:powerpoint" xmlns:ns24="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wetp="http://schemas.microsoft.com/office/webextensions/taskpanes/2010/11" xmlns:we="http://schemas.microsoft.com/office/webextensions/webextension/2010/11" xmlns:ns34="http://schemas.openxmlformats.org/drawingml/2006/compatibility" xmlns:ns35="http://schemas.openxmlformats.org/drawingml/2006/lockedCanvas" SelectedStyle="\APASixthEditionOfficeOnline.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19BC990-40FD-42B6-B8DA-69B41A76D25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Pages>
  <Words>18</Words>
  <Characters>106</Characters>
  <Lines>1</Lines>
  <Paragraphs>1</Paragraphs>
  <TotalTime>7</TotalTime>
  <ScaleCrop>false</ScaleCrop>
  <LinksUpToDate>false</LinksUpToDate>
  <CharactersWithSpaces>123</CharactersWithSpaces>
  <Application>WPS Office_11.1.0.10132_F1E327BC-269C-435d-A152-05C5408002CA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2017-01-10T09:10:00Z</dcterms:created>
  <dc:creator>Tencent</dc:creator>
  <cp:lastModifiedBy>老枪</cp:lastModifiedBy>
  <cp:lastPrinted>2020-12-07T07:11:00Z</cp:lastPrinted>
  <dcterms:modified xsi:type="dcterms:W3CDTF">2020-12-12T16:39:06Z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2052-11.1.0.10132</vt:lpwstr>
  </property>
</Properties>
</file>